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73" w:type="dxa"/>
        <w:tblInd w:w="-459" w:type="dxa"/>
        <w:tblLook w:val="04A0" w:firstRow="1" w:lastRow="0" w:firstColumn="1" w:lastColumn="0" w:noHBand="0" w:noVBand="1"/>
      </w:tblPr>
      <w:tblGrid>
        <w:gridCol w:w="10773"/>
      </w:tblGrid>
      <w:tr w:rsidR="00EE26F5" w:rsidRPr="00EE26F5" w:rsidTr="00D021C7">
        <w:tc>
          <w:tcPr>
            <w:tcW w:w="10773" w:type="dxa"/>
            <w:tcBorders>
              <w:top w:val="nil"/>
              <w:left w:val="nil"/>
              <w:bottom w:val="nil"/>
              <w:right w:val="nil"/>
            </w:tcBorders>
            <w:shd w:val="clear" w:color="auto" w:fill="auto"/>
          </w:tcPr>
          <w:p w:rsidR="00EE26F5" w:rsidRPr="00D021C7" w:rsidRDefault="00EE26F5" w:rsidP="00EE26F5">
            <w:pPr>
              <w:jc w:val="center"/>
              <w:rPr>
                <w:rFonts w:ascii="Arial" w:hAnsi="Arial" w:cs="Arial"/>
                <w:b/>
              </w:rPr>
            </w:pPr>
            <w:r w:rsidRPr="00D021C7">
              <w:rPr>
                <w:rFonts w:ascii="Arial" w:hAnsi="Arial" w:cs="Arial"/>
                <w:b/>
              </w:rPr>
              <w:t>CONCLUSIÓN DE AUDITORIA</w:t>
            </w:r>
          </w:p>
        </w:tc>
      </w:tr>
    </w:tbl>
    <w:p w:rsidR="00EE26F5" w:rsidRPr="00EE26F5" w:rsidRDefault="00EE26F5" w:rsidP="00EE26F5">
      <w:pPr>
        <w:jc w:val="center"/>
        <w:rPr>
          <w:rFonts w:ascii="Arial" w:hAnsi="Arial" w:cs="Arial"/>
          <w:b/>
          <w:sz w:val="16"/>
          <w:szCs w:val="16"/>
        </w:rPr>
      </w:pPr>
    </w:p>
    <w:tbl>
      <w:tblPr>
        <w:tblStyle w:val="a4"/>
        <w:tblW w:w="10773"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FF15C4" w:rsidTr="00EE26F5">
        <w:tc>
          <w:tcPr>
            <w:tcW w:w="10773" w:type="dxa"/>
            <w:tcBorders>
              <w:bottom w:val="single" w:sz="4" w:space="0" w:color="000000"/>
            </w:tcBorders>
            <w:shd w:val="clear" w:color="auto" w:fill="E5DFEC" w:themeFill="accent4" w:themeFillTint="33"/>
            <w:vAlign w:val="center"/>
          </w:tcPr>
          <w:p w:rsidR="00FF15C4" w:rsidRDefault="004F6769" w:rsidP="004F6769">
            <w:pPr>
              <w:pStyle w:val="Normal1"/>
              <w:jc w:val="center"/>
              <w:rPr>
                <w:rFonts w:ascii="Arial" w:eastAsia="Arial" w:hAnsi="Arial" w:cs="Arial"/>
              </w:rPr>
            </w:pPr>
            <w:r>
              <w:rPr>
                <w:rFonts w:ascii="Arial" w:eastAsia="Arial" w:hAnsi="Arial" w:cs="Arial"/>
                <w:b/>
              </w:rPr>
              <w:t xml:space="preserve">ANEXO DE </w:t>
            </w:r>
            <w:r w:rsidR="003E6093">
              <w:rPr>
                <w:rFonts w:ascii="Arial" w:eastAsia="Arial" w:hAnsi="Arial" w:cs="Arial"/>
                <w:b/>
              </w:rPr>
              <w:t>RECOMENDACIONES</w:t>
            </w:r>
          </w:p>
        </w:tc>
      </w:tr>
      <w:tr w:rsidR="00425121" w:rsidTr="00EF63F0">
        <w:trPr>
          <w:trHeight w:val="14426"/>
        </w:trPr>
        <w:tc>
          <w:tcPr>
            <w:tcW w:w="10773" w:type="dxa"/>
            <w:tcBorders>
              <w:top w:val="single" w:sz="4" w:space="0" w:color="000000"/>
            </w:tcBorders>
          </w:tcPr>
          <w:p w:rsidR="00425121" w:rsidRDefault="00425121">
            <w:pPr>
              <w:pStyle w:val="Normal1"/>
              <w:rPr>
                <w:rFonts w:ascii="Arial" w:eastAsia="Arial" w:hAnsi="Arial" w:cs="Arial"/>
                <w:sz w:val="18"/>
                <w:szCs w:val="18"/>
              </w:rPr>
            </w:pPr>
          </w:p>
          <w:p w:rsidR="00425121" w:rsidRDefault="00425121" w:rsidP="003E6093">
            <w:pPr>
              <w:tabs>
                <w:tab w:val="left" w:pos="6480"/>
              </w:tabs>
              <w:jc w:val="both"/>
              <w:rPr>
                <w:rFonts w:ascii="Arial" w:hAnsi="Arial" w:cs="Arial"/>
                <w:b/>
                <w:sz w:val="18"/>
                <w:szCs w:val="18"/>
                <w:lang w:val="es-MX"/>
              </w:rPr>
            </w:pPr>
            <w:r w:rsidRPr="00D512A6">
              <w:rPr>
                <w:rFonts w:ascii="Arial" w:hAnsi="Arial" w:cs="Arial"/>
                <w:b/>
                <w:sz w:val="18"/>
                <w:szCs w:val="18"/>
              </w:rPr>
              <w:t xml:space="preserve">De conformidad con lo dispuesto, en el </w:t>
            </w:r>
            <w:r w:rsidRPr="00D512A6">
              <w:rPr>
                <w:rFonts w:ascii="Arial" w:hAnsi="Arial" w:cs="Arial"/>
                <w:b/>
                <w:sz w:val="18"/>
                <w:szCs w:val="18"/>
                <w:lang w:val="es-MX"/>
              </w:rPr>
              <w:t xml:space="preserve"> la Ley de Responsabilidades de los Servidores Públicos del Estado de Jalisco</w:t>
            </w:r>
            <w:r>
              <w:rPr>
                <w:rFonts w:ascii="Arial" w:hAnsi="Arial" w:cs="Arial"/>
                <w:b/>
                <w:sz w:val="18"/>
                <w:szCs w:val="18"/>
                <w:lang w:val="es-MX"/>
              </w:rPr>
              <w:t>, vigente por el período de revisión</w:t>
            </w:r>
            <w:r w:rsidR="007339A6">
              <w:rPr>
                <w:rFonts w:ascii="Arial" w:hAnsi="Arial" w:cs="Arial"/>
                <w:b/>
                <w:sz w:val="18"/>
                <w:szCs w:val="18"/>
                <w:lang w:val="es-MX"/>
              </w:rPr>
              <w:t xml:space="preserve"> así como la Ley de Responsabilidades Políticas y Administrativas del Estado de Jalisco</w:t>
            </w:r>
            <w:r w:rsidRPr="00D512A6">
              <w:rPr>
                <w:rFonts w:ascii="Arial" w:hAnsi="Arial" w:cs="Arial"/>
                <w:b/>
                <w:sz w:val="18"/>
                <w:szCs w:val="18"/>
                <w:lang w:val="es-MX"/>
              </w:rPr>
              <w:t>, se le hacen las siguientes recomendaciones por parte de este Órgano de Control, sin restar lo ya expuesto, previamente en cada de una de las observaciones en el presente documento.</w:t>
            </w:r>
          </w:p>
          <w:p w:rsidR="00425121" w:rsidRDefault="00425121">
            <w:pPr>
              <w:pStyle w:val="Normal1"/>
              <w:rPr>
                <w:rFonts w:ascii="Arial" w:eastAsia="Arial" w:hAnsi="Arial" w:cs="Arial"/>
                <w:b/>
              </w:rPr>
            </w:pPr>
          </w:p>
          <w:p w:rsidR="00425121" w:rsidRDefault="004F6769">
            <w:pPr>
              <w:pStyle w:val="Normal1"/>
              <w:jc w:val="both"/>
              <w:rPr>
                <w:rFonts w:ascii="Arial" w:eastAsia="Arial" w:hAnsi="Arial" w:cs="Arial"/>
              </w:rPr>
            </w:pPr>
            <w:r>
              <w:rPr>
                <w:rFonts w:ascii="Arial" w:eastAsia="Arial" w:hAnsi="Arial" w:cs="Arial"/>
              </w:rPr>
              <w:t>“</w:t>
            </w:r>
            <w:r w:rsidR="00425121">
              <w:rPr>
                <w:rFonts w:ascii="Arial" w:eastAsia="Arial" w:hAnsi="Arial" w:cs="Arial"/>
              </w:rPr>
              <w:t xml:space="preserve">El organismo presenta en su página de transparencia una diferencia presupuestal entre lo manifestado en los estados financieros y los anexos presentados a la Junta de Gobierno en su </w:t>
            </w:r>
            <w:r w:rsidR="00425121">
              <w:rPr>
                <w:rFonts w:ascii="Arial" w:eastAsia="Arial" w:hAnsi="Arial" w:cs="Arial"/>
                <w:b/>
              </w:rPr>
              <w:t>2da. Sesión ordinaria</w:t>
            </w:r>
            <w:r w:rsidR="00425121">
              <w:rPr>
                <w:rFonts w:ascii="Arial" w:eastAsia="Arial" w:hAnsi="Arial" w:cs="Arial"/>
              </w:rPr>
              <w:t xml:space="preserve"> del año </w:t>
            </w:r>
            <w:r w:rsidR="00425121">
              <w:rPr>
                <w:rFonts w:ascii="Arial" w:eastAsia="Arial" w:hAnsi="Arial" w:cs="Arial"/>
                <w:b/>
              </w:rPr>
              <w:t>2018</w:t>
            </w:r>
            <w:r w:rsidR="00425121">
              <w:rPr>
                <w:rFonts w:ascii="Arial" w:eastAsia="Arial" w:hAnsi="Arial" w:cs="Arial"/>
              </w:rPr>
              <w:t>, celebrada el día 2 de Marzo, originando incertidumbre de la información presentada a su Junta de Gobierno, generando Estados Financieros Inciertos, deficiente control interno</w:t>
            </w:r>
            <w:r w:rsidR="00425121">
              <w:rPr>
                <w:rFonts w:ascii="Arial" w:eastAsia="Arial" w:hAnsi="Arial" w:cs="Arial"/>
                <w:b/>
                <w:i/>
              </w:rPr>
              <w:t xml:space="preserve">, </w:t>
            </w:r>
            <w:r w:rsidR="00425121">
              <w:rPr>
                <w:rFonts w:ascii="Arial" w:eastAsia="Arial" w:hAnsi="Arial" w:cs="Arial"/>
              </w:rPr>
              <w:t>riesgo de proporcionar información errónea.</w:t>
            </w:r>
          </w:p>
          <w:p w:rsidR="00D03C05" w:rsidRDefault="00D03C05">
            <w:pPr>
              <w:pStyle w:val="Normal1"/>
              <w:jc w:val="both"/>
              <w:rPr>
                <w:rFonts w:ascii="Arial" w:eastAsia="Arial" w:hAnsi="Arial" w:cs="Arial"/>
              </w:rPr>
            </w:pPr>
          </w:p>
          <w:p w:rsidR="00425121" w:rsidRDefault="00425121">
            <w:pPr>
              <w:pStyle w:val="Normal1"/>
              <w:jc w:val="both"/>
              <w:rPr>
                <w:rFonts w:ascii="Arial" w:eastAsia="Arial" w:hAnsi="Arial" w:cs="Arial"/>
              </w:rPr>
            </w:pPr>
            <w:r>
              <w:rPr>
                <w:rFonts w:ascii="Arial" w:eastAsia="Arial" w:hAnsi="Arial" w:cs="Arial"/>
              </w:rPr>
              <w:t xml:space="preserve">Por lo anterior </w:t>
            </w:r>
            <w:r w:rsidRPr="00F83DC6">
              <w:rPr>
                <w:rFonts w:ascii="Arial" w:eastAsia="Arial" w:hAnsi="Arial" w:cs="Arial"/>
                <w:b/>
              </w:rPr>
              <w:t>s</w:t>
            </w:r>
            <w:r w:rsidRPr="00A233CB">
              <w:rPr>
                <w:rFonts w:ascii="Arial" w:hAnsi="Arial" w:cs="Arial"/>
                <w:b/>
                <w:sz w:val="18"/>
                <w:szCs w:val="18"/>
              </w:rPr>
              <w:t>e sugiere</w:t>
            </w:r>
            <w:r w:rsidRPr="00D512A6">
              <w:rPr>
                <w:rFonts w:ascii="Arial" w:hAnsi="Arial" w:cs="Arial"/>
                <w:sz w:val="18"/>
                <w:szCs w:val="18"/>
              </w:rPr>
              <w:t xml:space="preserve"> </w:t>
            </w:r>
            <w:r>
              <w:rPr>
                <w:rFonts w:ascii="Arial" w:eastAsia="Arial" w:hAnsi="Arial" w:cs="Arial"/>
              </w:rPr>
              <w:t>actualizar la información de su página Oficial de Transparencia, e implementar  acciones procedentes, que eviten la recurrencia de conductas o decisiones que no se apeguen estrictamente a la citada Normatividad.</w:t>
            </w:r>
            <w:r w:rsidR="004F6769">
              <w:rPr>
                <w:rFonts w:ascii="Arial" w:eastAsia="Arial" w:hAnsi="Arial" w:cs="Arial"/>
              </w:rPr>
              <w:t>”</w:t>
            </w:r>
          </w:p>
          <w:p w:rsidR="00425121" w:rsidRDefault="00425121">
            <w:pPr>
              <w:pStyle w:val="Normal1"/>
              <w:jc w:val="both"/>
              <w:rPr>
                <w:rFonts w:ascii="Arial" w:eastAsia="Arial" w:hAnsi="Arial" w:cs="Arial"/>
                <w:sz w:val="18"/>
                <w:szCs w:val="18"/>
              </w:rPr>
            </w:pPr>
          </w:p>
          <w:p w:rsidR="00425121" w:rsidRDefault="004F6769" w:rsidP="00E66353">
            <w:pPr>
              <w:pStyle w:val="Normal1"/>
              <w:jc w:val="both"/>
              <w:rPr>
                <w:rFonts w:ascii="Arial" w:eastAsia="Arial" w:hAnsi="Arial" w:cs="Arial"/>
              </w:rPr>
            </w:pPr>
            <w:r>
              <w:rPr>
                <w:rFonts w:ascii="Arial" w:hAnsi="Arial" w:cs="Arial"/>
                <w:sz w:val="18"/>
                <w:szCs w:val="18"/>
                <w:lang w:val="es-MX"/>
              </w:rPr>
              <w:t>“</w:t>
            </w:r>
            <w:r w:rsidR="00425121">
              <w:rPr>
                <w:rFonts w:ascii="Arial" w:hAnsi="Arial" w:cs="Arial"/>
                <w:sz w:val="18"/>
                <w:szCs w:val="18"/>
                <w:lang w:val="es-MX"/>
              </w:rPr>
              <w:t>En</w:t>
            </w:r>
            <w:r w:rsidR="00425121" w:rsidRPr="00A331F4">
              <w:rPr>
                <w:rFonts w:ascii="Arial" w:hAnsi="Arial" w:cs="Arial"/>
                <w:sz w:val="18"/>
                <w:szCs w:val="18"/>
                <w:lang w:val="es-MX"/>
              </w:rPr>
              <w:t xml:space="preserve"> la revisión aleatoria</w:t>
            </w:r>
            <w:r w:rsidR="00425121" w:rsidRPr="00A331F4">
              <w:rPr>
                <w:rFonts w:ascii="Arial" w:hAnsi="Arial" w:cs="Arial"/>
                <w:b/>
                <w:sz w:val="18"/>
                <w:szCs w:val="18"/>
                <w:lang w:val="es-MX"/>
              </w:rPr>
              <w:t xml:space="preserve"> </w:t>
            </w:r>
            <w:r w:rsidR="00425121" w:rsidRPr="00A331F4">
              <w:rPr>
                <w:rFonts w:ascii="Arial" w:hAnsi="Arial" w:cs="Arial"/>
                <w:sz w:val="18"/>
                <w:szCs w:val="18"/>
                <w:lang w:val="es-MX"/>
              </w:rPr>
              <w:t xml:space="preserve">efectuada </w:t>
            </w:r>
            <w:r w:rsidR="00425121">
              <w:rPr>
                <w:rFonts w:ascii="Arial" w:hAnsi="Arial" w:cs="Arial"/>
                <w:sz w:val="18"/>
                <w:szCs w:val="18"/>
                <w:lang w:val="es-MX"/>
              </w:rPr>
              <w:t xml:space="preserve"> se verifico que a</w:t>
            </w:r>
            <w:r w:rsidR="00425121">
              <w:rPr>
                <w:rFonts w:ascii="Arial" w:eastAsia="Arial" w:hAnsi="Arial" w:cs="Arial"/>
              </w:rPr>
              <w:t xml:space="preserve">l 30 de Junio de </w:t>
            </w:r>
            <w:r w:rsidR="00425121">
              <w:rPr>
                <w:rFonts w:ascii="Arial" w:eastAsia="Arial" w:hAnsi="Arial" w:cs="Arial"/>
                <w:b/>
              </w:rPr>
              <w:t>2018</w:t>
            </w:r>
            <w:r w:rsidR="00425121">
              <w:rPr>
                <w:rFonts w:ascii="Arial" w:eastAsia="Arial" w:hAnsi="Arial" w:cs="Arial"/>
              </w:rPr>
              <w:t xml:space="preserve">, el Instituto refleja en sus estados financieros saldos en la cuenta </w:t>
            </w:r>
            <w:r w:rsidR="00425121">
              <w:rPr>
                <w:rFonts w:ascii="Arial" w:eastAsia="Arial" w:hAnsi="Arial" w:cs="Arial"/>
                <w:b/>
              </w:rPr>
              <w:t xml:space="preserve">2100-0000-0000-00 PROVEEDORES, </w:t>
            </w:r>
            <w:r w:rsidR="00425121" w:rsidRPr="00F83DC6">
              <w:rPr>
                <w:rFonts w:ascii="Arial" w:eastAsia="Arial" w:hAnsi="Arial" w:cs="Arial"/>
              </w:rPr>
              <w:t>saldos</w:t>
            </w:r>
            <w:r w:rsidR="00425121">
              <w:rPr>
                <w:rFonts w:ascii="Arial" w:eastAsia="Arial" w:hAnsi="Arial" w:cs="Arial"/>
                <w:b/>
              </w:rPr>
              <w:t xml:space="preserve"> </w:t>
            </w:r>
            <w:r w:rsidR="00425121">
              <w:rPr>
                <w:rFonts w:ascii="Arial" w:eastAsia="Arial" w:hAnsi="Arial" w:cs="Arial"/>
              </w:rPr>
              <w:t>provenientes en algunos casos de ejercicios anteriores</w:t>
            </w:r>
            <w:r w:rsidR="00425121">
              <w:rPr>
                <w:rFonts w:ascii="Arial" w:eastAsia="Arial" w:hAnsi="Arial" w:cs="Arial"/>
                <w:b/>
              </w:rPr>
              <w:t xml:space="preserve">, </w:t>
            </w:r>
            <w:r w:rsidR="00425121">
              <w:rPr>
                <w:rFonts w:ascii="Arial" w:eastAsia="Arial" w:hAnsi="Arial" w:cs="Arial"/>
              </w:rPr>
              <w:t xml:space="preserve">aun cuando se justifica estos saldos existe un compromiso de cumplimiento ya que el endeudamiento del Organismo limita que no se cumplan con los objetivos para los que fue creado el Instituto. En consecuencia de lo anterior se recomienda elaborar un </w:t>
            </w:r>
            <w:r w:rsidR="00425121" w:rsidRPr="00392E2F">
              <w:rPr>
                <w:rFonts w:ascii="Arial" w:eastAsia="Arial" w:hAnsi="Arial" w:cs="Arial"/>
                <w:color w:val="000000"/>
              </w:rPr>
              <w:t>Programa de trabajo objetivo, con acciones a realizar, orien</w:t>
            </w:r>
            <w:r w:rsidR="00425121">
              <w:rPr>
                <w:rFonts w:ascii="Arial" w:eastAsia="Arial" w:hAnsi="Arial" w:cs="Arial"/>
                <w:color w:val="000000"/>
              </w:rPr>
              <w:t>tado a depurar la cuenta de Proveedores</w:t>
            </w:r>
            <w:r w:rsidR="00425121">
              <w:rPr>
                <w:rFonts w:ascii="Arial" w:eastAsia="Arial" w:hAnsi="Arial" w:cs="Arial"/>
              </w:rPr>
              <w:t>.</w:t>
            </w:r>
          </w:p>
          <w:p w:rsidR="00425121" w:rsidRDefault="00425121">
            <w:pPr>
              <w:pStyle w:val="Normal1"/>
              <w:jc w:val="both"/>
              <w:rPr>
                <w:rFonts w:ascii="Arial" w:eastAsia="Arial" w:hAnsi="Arial" w:cs="Arial"/>
                <w:sz w:val="18"/>
                <w:szCs w:val="18"/>
              </w:rPr>
            </w:pPr>
          </w:p>
          <w:p w:rsidR="00425121" w:rsidRDefault="00425121" w:rsidP="00C80AA5">
            <w:pPr>
              <w:pStyle w:val="Normal1"/>
              <w:pBdr>
                <w:top w:val="nil"/>
                <w:left w:val="nil"/>
                <w:bottom w:val="nil"/>
                <w:right w:val="nil"/>
                <w:between w:val="nil"/>
              </w:pBdr>
              <w:jc w:val="both"/>
              <w:rPr>
                <w:rFonts w:ascii="Arial" w:eastAsia="Arial" w:hAnsi="Arial" w:cs="Arial"/>
                <w:sz w:val="18"/>
                <w:szCs w:val="18"/>
              </w:rPr>
            </w:pPr>
            <w:r w:rsidRPr="00C80AA5">
              <w:rPr>
                <w:rFonts w:ascii="Arial" w:eastAsia="Arial" w:hAnsi="Arial" w:cs="Arial"/>
                <w:color w:val="000000"/>
              </w:rPr>
              <w:t>Asimismo</w:t>
            </w:r>
            <w:r>
              <w:rPr>
                <w:rFonts w:ascii="Arial" w:eastAsia="Arial" w:hAnsi="Arial" w:cs="Arial"/>
                <w:b/>
                <w:color w:val="000000"/>
              </w:rPr>
              <w:t xml:space="preserve"> </w:t>
            </w:r>
            <w:r>
              <w:rPr>
                <w:rFonts w:ascii="Arial" w:eastAsia="Arial" w:hAnsi="Arial" w:cs="Arial"/>
                <w:color w:val="000000"/>
              </w:rPr>
              <w:t xml:space="preserve">en sus Estados de Situación Financiera al 31 de Diciembre de </w:t>
            </w:r>
            <w:r>
              <w:rPr>
                <w:rFonts w:ascii="Arial" w:eastAsia="Arial" w:hAnsi="Arial" w:cs="Arial"/>
                <w:b/>
                <w:color w:val="000000"/>
              </w:rPr>
              <w:t>2017,</w:t>
            </w:r>
            <w:r>
              <w:rPr>
                <w:rFonts w:ascii="Arial" w:eastAsia="Arial" w:hAnsi="Arial" w:cs="Arial"/>
                <w:color w:val="000000"/>
              </w:rPr>
              <w:t xml:space="preserve"> se evidencio diferencias entre los registros contables en la Hacienda Pública/Patrimonio y la cuenta de Resultados del Ejercicio todo ello originado por fallas de control interno generando incertidumbre en los Estados financieros que pueden ser inciertos por lo que se recomienda intensificar los tramos de control efectuar los registros contables pertinentes e </w:t>
            </w:r>
            <w:r>
              <w:rPr>
                <w:rFonts w:ascii="Arial" w:eastAsia="Arial" w:hAnsi="Arial" w:cs="Arial"/>
              </w:rPr>
              <w:t>implementar acciones necesarias que eviten la recurrencia de conductas o decisiones que no se apeguen estrictamente a la Normatividad aplicable para el Instituto</w:t>
            </w:r>
            <w:r w:rsidR="004F6769">
              <w:rPr>
                <w:rFonts w:ascii="Arial" w:eastAsia="Arial" w:hAnsi="Arial" w:cs="Arial"/>
              </w:rPr>
              <w:t>”</w:t>
            </w:r>
            <w:r>
              <w:rPr>
                <w:rFonts w:ascii="Arial" w:eastAsia="Arial" w:hAnsi="Arial" w:cs="Arial"/>
                <w:color w:val="000000"/>
              </w:rPr>
              <w:t xml:space="preserve">   </w:t>
            </w:r>
          </w:p>
          <w:p w:rsidR="00425121" w:rsidRDefault="00425121">
            <w:pPr>
              <w:pStyle w:val="Normal1"/>
              <w:jc w:val="both"/>
              <w:rPr>
                <w:rFonts w:ascii="Arial" w:eastAsia="Arial" w:hAnsi="Arial" w:cs="Arial"/>
                <w:sz w:val="18"/>
                <w:szCs w:val="18"/>
              </w:rPr>
            </w:pPr>
          </w:p>
          <w:p w:rsidR="00425121" w:rsidRDefault="004F6769" w:rsidP="00AC564E">
            <w:pPr>
              <w:pStyle w:val="Normal1"/>
              <w:jc w:val="both"/>
              <w:rPr>
                <w:rFonts w:ascii="Arial" w:eastAsia="Arial" w:hAnsi="Arial" w:cs="Arial"/>
              </w:rPr>
            </w:pPr>
            <w:r>
              <w:rPr>
                <w:rFonts w:ascii="Arial" w:eastAsia="Arial" w:hAnsi="Arial" w:cs="Arial"/>
              </w:rPr>
              <w:t>“</w:t>
            </w:r>
            <w:r w:rsidR="00425121" w:rsidRPr="00AC564E">
              <w:rPr>
                <w:rFonts w:ascii="Arial" w:eastAsia="Arial" w:hAnsi="Arial" w:cs="Arial"/>
              </w:rPr>
              <w:t>En el proceso de revisión</w:t>
            </w:r>
            <w:r w:rsidR="00425121">
              <w:rPr>
                <w:rFonts w:ascii="Arial" w:eastAsia="Arial" w:hAnsi="Arial" w:cs="Arial"/>
                <w:b/>
              </w:rPr>
              <w:t xml:space="preserve"> </w:t>
            </w:r>
            <w:r w:rsidR="00425121">
              <w:rPr>
                <w:rFonts w:ascii="Arial" w:hAnsi="Arial" w:cs="Arial"/>
                <w:sz w:val="18"/>
                <w:szCs w:val="18"/>
              </w:rPr>
              <w:t>se observo una insuficiente supervisión</w:t>
            </w:r>
            <w:r w:rsidR="00425121">
              <w:rPr>
                <w:rFonts w:ascii="Arial" w:eastAsia="Arial" w:hAnsi="Arial" w:cs="Arial"/>
                <w:b/>
              </w:rPr>
              <w:t xml:space="preserve"> </w:t>
            </w:r>
            <w:r w:rsidR="00425121">
              <w:rPr>
                <w:rFonts w:ascii="Arial" w:eastAsia="Arial" w:hAnsi="Arial" w:cs="Arial"/>
              </w:rPr>
              <w:t xml:space="preserve">en los tramos de control interno ya que en una muestra de la revisión de un contrato relativa a “Protección Canina Internacional, S.A. de C.V.”, con vigencia del 01 de Marzo al 31 de Diciembre </w:t>
            </w:r>
            <w:r w:rsidR="00425121">
              <w:rPr>
                <w:rFonts w:ascii="Arial" w:eastAsia="Arial" w:hAnsi="Arial" w:cs="Arial"/>
                <w:b/>
              </w:rPr>
              <w:t>2017</w:t>
            </w:r>
            <w:r w:rsidR="00425121">
              <w:rPr>
                <w:rFonts w:ascii="Arial" w:eastAsia="Arial" w:hAnsi="Arial" w:cs="Arial"/>
              </w:rPr>
              <w:t xml:space="preserve">; se le anexo en copias simples a las pólizas de Diario analizadas por el ejercicio </w:t>
            </w:r>
            <w:r w:rsidR="00425121">
              <w:rPr>
                <w:rFonts w:ascii="Arial" w:eastAsia="Arial" w:hAnsi="Arial" w:cs="Arial"/>
                <w:b/>
              </w:rPr>
              <w:t>2017</w:t>
            </w:r>
            <w:r w:rsidR="00425121">
              <w:rPr>
                <w:rFonts w:ascii="Arial" w:eastAsia="Arial" w:hAnsi="Arial" w:cs="Arial"/>
              </w:rPr>
              <w:t>, observando que el mismo no se encuentra debidamente formalizado, al carecer de la firma autógrafa del Representante Legal de la Empresa prestadora del Servicio antes descrita, lo anterior podría generar una contingencia innecesaria. Por ello se sugiere  que los contratos de servicios y/o adquisiciones se const</w:t>
            </w:r>
            <w:r w:rsidR="00D021C7">
              <w:rPr>
                <w:rFonts w:ascii="Arial" w:eastAsia="Arial" w:hAnsi="Arial" w:cs="Arial"/>
              </w:rPr>
              <w:t>a</w:t>
            </w:r>
            <w:r w:rsidR="00425121">
              <w:rPr>
                <w:rFonts w:ascii="Arial" w:eastAsia="Arial" w:hAnsi="Arial" w:cs="Arial"/>
              </w:rPr>
              <w:t>te que la documentación que se registre contablemente sea la suficiente y neces</w:t>
            </w:r>
            <w:r w:rsidR="00D021C7">
              <w:rPr>
                <w:rFonts w:ascii="Arial" w:eastAsia="Arial" w:hAnsi="Arial" w:cs="Arial"/>
              </w:rPr>
              <w:t>aria para avalar dichos registr</w:t>
            </w:r>
            <w:r w:rsidR="00425121">
              <w:rPr>
                <w:rFonts w:ascii="Arial" w:eastAsia="Arial" w:hAnsi="Arial" w:cs="Arial"/>
              </w:rPr>
              <w:t>os asimismo implementar  acciones procedentes, que eviten la recurrencia de conductas o decisiones que no se apeguen estrictamente a la citada Normatividad</w:t>
            </w:r>
            <w:r>
              <w:rPr>
                <w:rFonts w:ascii="Arial" w:eastAsia="Arial" w:hAnsi="Arial" w:cs="Arial"/>
              </w:rPr>
              <w:t>”</w:t>
            </w:r>
          </w:p>
          <w:p w:rsidR="00425121" w:rsidRDefault="00425121" w:rsidP="00AC564E">
            <w:pPr>
              <w:pStyle w:val="Normal1"/>
              <w:jc w:val="both"/>
              <w:rPr>
                <w:rFonts w:ascii="Arial" w:eastAsia="Arial" w:hAnsi="Arial" w:cs="Arial"/>
                <w:sz w:val="18"/>
                <w:szCs w:val="18"/>
              </w:rPr>
            </w:pPr>
          </w:p>
          <w:p w:rsidR="00425121" w:rsidRDefault="004F6769" w:rsidP="002B14BF">
            <w:pPr>
              <w:pStyle w:val="Normal1"/>
              <w:jc w:val="both"/>
              <w:rPr>
                <w:rFonts w:ascii="Arial" w:eastAsia="Arial" w:hAnsi="Arial" w:cs="Arial"/>
                <w:sz w:val="19"/>
                <w:szCs w:val="19"/>
              </w:rPr>
            </w:pPr>
            <w:r>
              <w:rPr>
                <w:rFonts w:ascii="Arial" w:eastAsia="Arial" w:hAnsi="Arial" w:cs="Arial"/>
                <w:sz w:val="19"/>
                <w:szCs w:val="19"/>
              </w:rPr>
              <w:t>“</w:t>
            </w:r>
            <w:r w:rsidR="00425121" w:rsidRPr="002B14BF">
              <w:rPr>
                <w:rFonts w:ascii="Arial" w:eastAsia="Arial" w:hAnsi="Arial" w:cs="Arial"/>
                <w:sz w:val="19"/>
                <w:szCs w:val="19"/>
              </w:rPr>
              <w:t>Adicionalmente</w:t>
            </w:r>
            <w:r w:rsidR="00425121">
              <w:rPr>
                <w:rFonts w:ascii="Arial" w:eastAsia="Arial" w:hAnsi="Arial" w:cs="Arial"/>
                <w:sz w:val="19"/>
                <w:szCs w:val="19"/>
              </w:rPr>
              <w:t xml:space="preserve">, en lo correspondiente a control interno </w:t>
            </w:r>
            <w:r w:rsidR="00425121" w:rsidRPr="00944247">
              <w:rPr>
                <w:rFonts w:ascii="Arial" w:eastAsia="Arial" w:hAnsi="Arial" w:cs="Arial"/>
                <w:sz w:val="19"/>
                <w:szCs w:val="19"/>
              </w:rPr>
              <w:t>se  determin</w:t>
            </w:r>
            <w:r w:rsidR="00D021C7">
              <w:rPr>
                <w:rFonts w:ascii="Arial" w:eastAsia="Arial" w:hAnsi="Arial" w:cs="Arial"/>
                <w:sz w:val="19"/>
                <w:szCs w:val="19"/>
              </w:rPr>
              <w:t>ó</w:t>
            </w:r>
            <w:r w:rsidR="00425121" w:rsidRPr="00944247">
              <w:rPr>
                <w:rFonts w:ascii="Arial" w:eastAsia="Arial" w:hAnsi="Arial" w:cs="Arial"/>
                <w:sz w:val="19"/>
                <w:szCs w:val="19"/>
              </w:rPr>
              <w:t xml:space="preserve"> que en</w:t>
            </w:r>
            <w:r w:rsidR="00425121">
              <w:rPr>
                <w:rFonts w:ascii="Arial" w:eastAsia="Arial" w:hAnsi="Arial" w:cs="Arial"/>
                <w:sz w:val="19"/>
                <w:szCs w:val="19"/>
              </w:rPr>
              <w:t xml:space="preserve"> su página oficial </w:t>
            </w:r>
            <w:hyperlink r:id="rId6">
              <w:r w:rsidR="00425121">
                <w:rPr>
                  <w:rFonts w:ascii="Arial" w:eastAsia="Arial" w:hAnsi="Arial" w:cs="Arial"/>
                  <w:color w:val="0248B0"/>
                  <w:sz w:val="19"/>
                  <w:szCs w:val="19"/>
                  <w:u w:val="single"/>
                </w:rPr>
                <w:t>www.ijc.gob.mx</w:t>
              </w:r>
            </w:hyperlink>
            <w:r w:rsidR="00425121">
              <w:rPr>
                <w:rFonts w:ascii="Arial" w:eastAsia="Arial" w:hAnsi="Arial" w:cs="Arial"/>
                <w:sz w:val="19"/>
                <w:szCs w:val="19"/>
              </w:rPr>
              <w:t xml:space="preserve"> en el apartado Transparencia, </w:t>
            </w:r>
            <w:r w:rsidR="00425121">
              <w:rPr>
                <w:rFonts w:ascii="Arial" w:eastAsia="Arial" w:hAnsi="Arial" w:cs="Arial"/>
                <w:b/>
                <w:sz w:val="19"/>
                <w:szCs w:val="19"/>
              </w:rPr>
              <w:t>artículo 8 fracción V inciso S</w:t>
            </w:r>
            <w:r w:rsidR="00425121">
              <w:rPr>
                <w:rFonts w:ascii="Arial" w:eastAsia="Arial" w:hAnsi="Arial" w:cs="Arial"/>
                <w:sz w:val="19"/>
                <w:szCs w:val="19"/>
              </w:rPr>
              <w:t xml:space="preserve">) Los gastos de representación, viáticos y viajes oficiales, su costo, itinerario, agenda y resultados, solo muestran registro de los mismos en los meses de </w:t>
            </w:r>
            <w:r w:rsidR="00425121">
              <w:rPr>
                <w:rFonts w:ascii="Arial" w:eastAsia="Arial" w:hAnsi="Arial" w:cs="Arial"/>
                <w:b/>
                <w:sz w:val="19"/>
                <w:szCs w:val="19"/>
              </w:rPr>
              <w:t>Febrero y Mayo de 2018</w:t>
            </w:r>
            <w:r w:rsidR="00425121">
              <w:rPr>
                <w:rFonts w:ascii="Arial" w:eastAsia="Arial" w:hAnsi="Arial" w:cs="Arial"/>
                <w:sz w:val="19"/>
                <w:szCs w:val="19"/>
              </w:rPr>
              <w:t xml:space="preserve">, señalando que en los meses de </w:t>
            </w:r>
            <w:r w:rsidR="00425121">
              <w:rPr>
                <w:rFonts w:ascii="Arial" w:eastAsia="Arial" w:hAnsi="Arial" w:cs="Arial"/>
                <w:b/>
                <w:sz w:val="19"/>
                <w:szCs w:val="19"/>
              </w:rPr>
              <w:t xml:space="preserve">Enero, Marzo </w:t>
            </w:r>
            <w:r w:rsidR="00D021C7">
              <w:rPr>
                <w:rFonts w:ascii="Arial" w:eastAsia="Arial" w:hAnsi="Arial" w:cs="Arial"/>
                <w:b/>
                <w:sz w:val="19"/>
                <w:szCs w:val="19"/>
              </w:rPr>
              <w:t>Abril y Junio</w:t>
            </w:r>
            <w:r w:rsidR="00425121">
              <w:rPr>
                <w:rFonts w:ascii="Arial" w:eastAsia="Arial" w:hAnsi="Arial" w:cs="Arial"/>
                <w:sz w:val="19"/>
                <w:szCs w:val="19"/>
              </w:rPr>
              <w:t xml:space="preserve"> no se efectuó ningún viaje, lo cual  es incorrecto, ya que al efectuar la revisión de las pólizas, se verifico  que en el mes de Enero, donde se muestra </w:t>
            </w:r>
            <w:r>
              <w:rPr>
                <w:rFonts w:ascii="Arial" w:eastAsia="Arial" w:hAnsi="Arial" w:cs="Arial"/>
                <w:sz w:val="19"/>
                <w:szCs w:val="19"/>
              </w:rPr>
              <w:t>que si realizaron viaje Oficial”</w:t>
            </w:r>
          </w:p>
          <w:p w:rsidR="00425121" w:rsidRDefault="00425121">
            <w:pPr>
              <w:pStyle w:val="Normal1"/>
              <w:jc w:val="both"/>
              <w:rPr>
                <w:rFonts w:ascii="Arial" w:eastAsia="Arial" w:hAnsi="Arial" w:cs="Arial"/>
                <w:sz w:val="18"/>
                <w:szCs w:val="18"/>
              </w:rPr>
            </w:pPr>
          </w:p>
          <w:p w:rsidR="00425121" w:rsidRDefault="004F6769" w:rsidP="00944247">
            <w:pPr>
              <w:pStyle w:val="Normal1"/>
              <w:jc w:val="both"/>
              <w:rPr>
                <w:rFonts w:ascii="Arial" w:eastAsia="Arial" w:hAnsi="Arial" w:cs="Arial"/>
                <w:b/>
                <w:sz w:val="19"/>
                <w:szCs w:val="19"/>
              </w:rPr>
            </w:pPr>
            <w:r>
              <w:rPr>
                <w:rFonts w:ascii="Arial" w:eastAsia="Arial" w:hAnsi="Arial" w:cs="Arial"/>
                <w:sz w:val="19"/>
                <w:szCs w:val="19"/>
              </w:rPr>
              <w:t>“</w:t>
            </w:r>
            <w:r w:rsidR="00425121">
              <w:rPr>
                <w:rFonts w:ascii="Arial" w:eastAsia="Arial" w:hAnsi="Arial" w:cs="Arial"/>
                <w:sz w:val="19"/>
                <w:szCs w:val="19"/>
              </w:rPr>
              <w:t xml:space="preserve">Igualmente, se detectaron omisiones en </w:t>
            </w:r>
            <w:bookmarkStart w:id="0" w:name="_GoBack"/>
            <w:bookmarkEnd w:id="0"/>
            <w:r w:rsidR="00D8009D">
              <w:rPr>
                <w:rFonts w:ascii="Arial" w:eastAsia="Arial" w:hAnsi="Arial" w:cs="Arial"/>
                <w:sz w:val="19"/>
                <w:szCs w:val="19"/>
              </w:rPr>
              <w:t>los registros</w:t>
            </w:r>
            <w:r w:rsidR="00425121">
              <w:rPr>
                <w:rFonts w:ascii="Arial" w:eastAsia="Arial" w:hAnsi="Arial" w:cs="Arial"/>
                <w:sz w:val="19"/>
                <w:szCs w:val="19"/>
              </w:rPr>
              <w:t xml:space="preserve"> de los viajes reportados, versus Pólizas y docu</w:t>
            </w:r>
            <w:r w:rsidR="00DC3A4A">
              <w:rPr>
                <w:rFonts w:ascii="Arial" w:eastAsia="Arial" w:hAnsi="Arial" w:cs="Arial"/>
                <w:sz w:val="19"/>
                <w:szCs w:val="19"/>
              </w:rPr>
              <w:t>mentos de soporte de las mismas</w:t>
            </w:r>
            <w:r w:rsidR="00425121">
              <w:rPr>
                <w:rFonts w:ascii="Arial" w:eastAsia="Arial" w:hAnsi="Arial" w:cs="Arial"/>
                <w:sz w:val="19"/>
                <w:szCs w:val="19"/>
              </w:rPr>
              <w:t xml:space="preserve">, la información no es coincidente en Nombres de los Funcionarios que realizan el viaje, incumpliendo los </w:t>
            </w:r>
            <w:r w:rsidR="00425121">
              <w:rPr>
                <w:rFonts w:ascii="Arial" w:eastAsia="Arial" w:hAnsi="Arial" w:cs="Arial"/>
                <w:b/>
                <w:sz w:val="19"/>
                <w:szCs w:val="19"/>
              </w:rPr>
              <w:t>Artículos 2 numeral 1 fracción II y 8 numeral 1 fracción V inciso s)</w:t>
            </w:r>
            <w:r w:rsidR="00425121">
              <w:rPr>
                <w:rFonts w:ascii="Arial" w:eastAsia="Arial" w:hAnsi="Arial" w:cs="Arial"/>
                <w:sz w:val="19"/>
                <w:szCs w:val="19"/>
              </w:rPr>
              <w:t xml:space="preserve"> de la Ley de Transparencia y Acceso a la Información Pública del Estado de Jalisco y sus Municipios</w:t>
            </w:r>
            <w:r>
              <w:rPr>
                <w:rFonts w:ascii="Arial" w:eastAsia="Arial" w:hAnsi="Arial" w:cs="Arial"/>
                <w:sz w:val="19"/>
                <w:szCs w:val="19"/>
              </w:rPr>
              <w:t>”</w:t>
            </w:r>
            <w:r w:rsidR="00425121">
              <w:rPr>
                <w:rFonts w:ascii="Arial" w:eastAsia="Arial" w:hAnsi="Arial" w:cs="Arial"/>
                <w:sz w:val="19"/>
                <w:szCs w:val="19"/>
              </w:rPr>
              <w:t>.</w:t>
            </w:r>
            <w:r w:rsidR="00425121">
              <w:rPr>
                <w:rFonts w:ascii="Arial" w:eastAsia="Arial" w:hAnsi="Arial" w:cs="Arial"/>
              </w:rPr>
              <w:t xml:space="preserve"> </w:t>
            </w:r>
            <w:r w:rsidR="00425121">
              <w:rPr>
                <w:rFonts w:ascii="Arial" w:eastAsia="Arial" w:hAnsi="Arial" w:cs="Arial"/>
                <w:b/>
                <w:sz w:val="19"/>
                <w:szCs w:val="19"/>
              </w:rPr>
              <w:t xml:space="preserve"> </w:t>
            </w:r>
          </w:p>
          <w:p w:rsidR="00425121" w:rsidRDefault="00425121" w:rsidP="00944247">
            <w:pPr>
              <w:pStyle w:val="Normal1"/>
              <w:jc w:val="both"/>
              <w:rPr>
                <w:rFonts w:ascii="Arial" w:eastAsia="Arial" w:hAnsi="Arial" w:cs="Arial"/>
                <w:sz w:val="19"/>
                <w:szCs w:val="19"/>
              </w:rPr>
            </w:pPr>
          </w:p>
          <w:p w:rsidR="00425121" w:rsidRDefault="004F6769" w:rsidP="00944247">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9"/>
                <w:szCs w:val="19"/>
              </w:rPr>
              <w:t>“</w:t>
            </w:r>
            <w:r w:rsidR="00425121" w:rsidRPr="00944247">
              <w:rPr>
                <w:rFonts w:ascii="Arial" w:eastAsia="Arial" w:hAnsi="Arial" w:cs="Arial"/>
                <w:color w:val="000000"/>
                <w:sz w:val="19"/>
                <w:szCs w:val="19"/>
              </w:rPr>
              <w:t>Este d</w:t>
            </w:r>
            <w:r w:rsidR="00425121" w:rsidRPr="00944247">
              <w:rPr>
                <w:rFonts w:ascii="Arial" w:eastAsia="Arial" w:hAnsi="Arial" w:cs="Arial"/>
                <w:color w:val="000000"/>
              </w:rPr>
              <w:t>eficiente</w:t>
            </w:r>
            <w:r w:rsidR="00425121">
              <w:rPr>
                <w:rFonts w:ascii="Arial" w:eastAsia="Arial" w:hAnsi="Arial" w:cs="Arial"/>
                <w:color w:val="000000"/>
              </w:rPr>
              <w:t xml:space="preserve"> control interno puede generar riesgo de proporcionar información errónea, que los objetivos del Instituto no se cumplan respecto a la obligación de la publicación del Marco Normativo aplicable que regule la existencia, atribuciones y funcionamiento del su</w:t>
            </w:r>
            <w:r>
              <w:rPr>
                <w:rFonts w:ascii="Arial" w:eastAsia="Arial" w:hAnsi="Arial" w:cs="Arial"/>
                <w:color w:val="000000"/>
              </w:rPr>
              <w:t>jeto obligado”</w:t>
            </w:r>
          </w:p>
          <w:p w:rsidR="00425121" w:rsidRDefault="00425121" w:rsidP="00944247">
            <w:pPr>
              <w:pStyle w:val="Normal1"/>
              <w:jc w:val="both"/>
              <w:rPr>
                <w:rFonts w:ascii="Arial" w:eastAsia="Arial" w:hAnsi="Arial" w:cs="Arial"/>
                <w:sz w:val="18"/>
                <w:szCs w:val="18"/>
              </w:rPr>
            </w:pPr>
          </w:p>
          <w:p w:rsidR="00425121" w:rsidRDefault="004F6769" w:rsidP="009224EF">
            <w:pPr>
              <w:pStyle w:val="Normal1"/>
              <w:jc w:val="both"/>
              <w:rPr>
                <w:rFonts w:ascii="Arial" w:eastAsia="Arial" w:hAnsi="Arial" w:cs="Arial"/>
                <w:sz w:val="18"/>
                <w:szCs w:val="18"/>
              </w:rPr>
            </w:pPr>
            <w:r>
              <w:rPr>
                <w:rFonts w:ascii="Arial" w:eastAsia="Arial" w:hAnsi="Arial" w:cs="Arial"/>
              </w:rPr>
              <w:t>“</w:t>
            </w:r>
            <w:r w:rsidR="00425121">
              <w:rPr>
                <w:rFonts w:ascii="Arial" w:eastAsia="Arial" w:hAnsi="Arial" w:cs="Arial"/>
              </w:rPr>
              <w:t>Por ello se sugiere actualizar la información de su página Oficial de Transparencia, e implementar acciones procedentes, que eviten la recurrencia de conductas o decisiones que no se apeguen estrictamente a la Normatividad.</w:t>
            </w:r>
            <w:r>
              <w:rPr>
                <w:rFonts w:ascii="Arial" w:eastAsia="Arial" w:hAnsi="Arial" w:cs="Arial"/>
              </w:rPr>
              <w:t>”</w:t>
            </w:r>
          </w:p>
        </w:tc>
      </w:tr>
    </w:tbl>
    <w:p w:rsidR="00FF15C4" w:rsidRDefault="00FF15C4">
      <w:pPr>
        <w:pStyle w:val="Normal1"/>
        <w:rPr>
          <w:rFonts w:ascii="Arial" w:eastAsia="Arial" w:hAnsi="Arial" w:cs="Arial"/>
        </w:rPr>
      </w:pPr>
    </w:p>
    <w:sectPr w:rsidR="00FF15C4" w:rsidSect="00FF15C4">
      <w:headerReference w:type="default" r:id="rId7"/>
      <w:footerReference w:type="default" r:id="rId8"/>
      <w:pgSz w:w="12242" w:h="20163"/>
      <w:pgMar w:top="1134" w:right="1701" w:bottom="1134" w:left="1418" w:header="1134" w:footer="7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30" w:rsidRDefault="00FE4C30" w:rsidP="00FF15C4">
      <w:r>
        <w:separator/>
      </w:r>
    </w:p>
  </w:endnote>
  <w:endnote w:type="continuationSeparator" w:id="0">
    <w:p w:rsidR="00FE4C30" w:rsidRDefault="00FE4C30" w:rsidP="00F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C4" w:rsidRDefault="00221231">
    <w:pPr>
      <w:pStyle w:val="Normal1"/>
      <w:pBdr>
        <w:top w:val="nil"/>
        <w:left w:val="nil"/>
        <w:bottom w:val="nil"/>
        <w:right w:val="nil"/>
        <w:between w:val="nil"/>
      </w:pBdr>
      <w:ind w:hanging="1701"/>
      <w:rPr>
        <w:rFonts w:ascii="Arial" w:eastAsia="Arial" w:hAnsi="Arial" w:cs="Arial"/>
        <w:color w:val="000000"/>
        <w:sz w:val="16"/>
        <w:szCs w:val="16"/>
      </w:rPr>
    </w:pPr>
    <w:r>
      <w:rPr>
        <w:rFonts w:ascii="Arial" w:eastAsia="Arial" w:hAnsi="Arial" w:cs="Arial"/>
        <w:b/>
        <w:color w:val="000000"/>
        <w:sz w:val="16"/>
        <w:szCs w:val="16"/>
      </w:rPr>
      <w:tab/>
    </w:r>
  </w:p>
  <w:p w:rsidR="00FF15C4" w:rsidRDefault="00221231">
    <w:pPr>
      <w:pStyle w:val="Normal1"/>
      <w:pBdr>
        <w:top w:val="nil"/>
        <w:left w:val="nil"/>
        <w:bottom w:val="nil"/>
        <w:right w:val="nil"/>
        <w:between w:val="nil"/>
      </w:pBdr>
      <w:tabs>
        <w:tab w:val="left" w:pos="7016"/>
      </w:tabs>
      <w:rPr>
        <w:rFonts w:ascii="Arial" w:eastAsia="Arial" w:hAnsi="Arial" w:cs="Arial"/>
        <w:color w:val="000000"/>
        <w:sz w:val="16"/>
        <w:szCs w:val="16"/>
      </w:rPr>
    </w:pPr>
    <w:r>
      <w:rPr>
        <w:rFonts w:ascii="Arial" w:eastAsia="Arial" w:hAnsi="Arial" w:cs="Arial"/>
        <w:b/>
        <w:color w:val="000000"/>
        <w:sz w:val="16"/>
        <w:szCs w:val="16"/>
      </w:rPr>
      <w:tab/>
    </w:r>
  </w:p>
  <w:p w:rsidR="00FF15C4" w:rsidRDefault="00221231" w:rsidP="00EE26F5">
    <w:pPr>
      <w:pStyle w:val="Normal1"/>
      <w:jc w:val="right"/>
      <w:rPr>
        <w:rFonts w:ascii="Arial" w:eastAsia="Arial" w:hAnsi="Arial" w:cs="Arial"/>
        <w:color w:val="000000"/>
      </w:rPr>
    </w:pPr>
    <w:r>
      <w:rPr>
        <w:rFonts w:ascii="Arial" w:eastAsia="Arial" w:hAnsi="Arial" w:cs="Arial"/>
        <w:sz w:val="18"/>
        <w:szCs w:val="18"/>
      </w:rPr>
      <w:t xml:space="preserve">Página </w:t>
    </w:r>
    <w:r w:rsidR="00CF3122">
      <w:rPr>
        <w:rFonts w:ascii="Arial" w:eastAsia="Arial" w:hAnsi="Arial" w:cs="Arial"/>
        <w:sz w:val="18"/>
        <w:szCs w:val="18"/>
      </w:rPr>
      <w:fldChar w:fldCharType="begin"/>
    </w:r>
    <w:r>
      <w:rPr>
        <w:rFonts w:ascii="Arial" w:eastAsia="Arial" w:hAnsi="Arial" w:cs="Arial"/>
        <w:sz w:val="18"/>
        <w:szCs w:val="18"/>
      </w:rPr>
      <w:instrText>PAGE</w:instrText>
    </w:r>
    <w:r w:rsidR="00CF3122">
      <w:rPr>
        <w:rFonts w:ascii="Arial" w:eastAsia="Arial" w:hAnsi="Arial" w:cs="Arial"/>
        <w:sz w:val="18"/>
        <w:szCs w:val="18"/>
      </w:rPr>
      <w:fldChar w:fldCharType="separate"/>
    </w:r>
    <w:r w:rsidR="00FE4C30">
      <w:rPr>
        <w:rFonts w:ascii="Arial" w:eastAsia="Arial" w:hAnsi="Arial" w:cs="Arial"/>
        <w:noProof/>
        <w:sz w:val="18"/>
        <w:szCs w:val="18"/>
      </w:rPr>
      <w:t>1</w:t>
    </w:r>
    <w:r w:rsidR="00CF3122">
      <w:rPr>
        <w:rFonts w:ascii="Arial" w:eastAsia="Arial" w:hAnsi="Arial" w:cs="Arial"/>
        <w:sz w:val="18"/>
        <w:szCs w:val="18"/>
      </w:rPr>
      <w:fldChar w:fldCharType="end"/>
    </w:r>
    <w:r>
      <w:rPr>
        <w:rFonts w:ascii="Arial" w:eastAsia="Arial" w:hAnsi="Arial" w:cs="Arial"/>
        <w:sz w:val="18"/>
        <w:szCs w:val="18"/>
      </w:rPr>
      <w:t xml:space="preserve"> de </w:t>
    </w:r>
    <w:r w:rsidR="00CF3122">
      <w:rPr>
        <w:rFonts w:ascii="Arial" w:eastAsia="Arial" w:hAnsi="Arial" w:cs="Arial"/>
        <w:sz w:val="18"/>
        <w:szCs w:val="18"/>
      </w:rPr>
      <w:fldChar w:fldCharType="begin"/>
    </w:r>
    <w:r>
      <w:rPr>
        <w:rFonts w:ascii="Arial" w:eastAsia="Arial" w:hAnsi="Arial" w:cs="Arial"/>
        <w:sz w:val="18"/>
        <w:szCs w:val="18"/>
      </w:rPr>
      <w:instrText>NUMPAGES</w:instrText>
    </w:r>
    <w:r w:rsidR="00CF3122">
      <w:rPr>
        <w:rFonts w:ascii="Arial" w:eastAsia="Arial" w:hAnsi="Arial" w:cs="Arial"/>
        <w:sz w:val="18"/>
        <w:szCs w:val="18"/>
      </w:rPr>
      <w:fldChar w:fldCharType="separate"/>
    </w:r>
    <w:r w:rsidR="00FE4C30">
      <w:rPr>
        <w:rFonts w:ascii="Arial" w:eastAsia="Arial" w:hAnsi="Arial" w:cs="Arial"/>
        <w:noProof/>
        <w:sz w:val="18"/>
        <w:szCs w:val="18"/>
      </w:rPr>
      <w:t>1</w:t>
    </w:r>
    <w:r w:rsidR="00CF3122">
      <w:rPr>
        <w:rFonts w:ascii="Arial" w:eastAsia="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30" w:rsidRDefault="00FE4C30" w:rsidP="00FF15C4">
      <w:r>
        <w:separator/>
      </w:r>
    </w:p>
  </w:footnote>
  <w:footnote w:type="continuationSeparator" w:id="0">
    <w:p w:rsidR="00FE4C30" w:rsidRDefault="00FE4C30" w:rsidP="00FF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F5" w:rsidRDefault="00EE26F5" w:rsidP="00EE26F5">
    <w:pPr>
      <w:pStyle w:val="Normal1"/>
      <w:pBdr>
        <w:top w:val="nil"/>
        <w:left w:val="nil"/>
        <w:bottom w:val="nil"/>
        <w:right w:val="nil"/>
        <w:between w:val="nil"/>
      </w:pBdr>
      <w:rPr>
        <w:rFonts w:ascii="Arial" w:eastAsia="Arial" w:hAnsi="Arial" w:cs="Arial"/>
        <w:b/>
        <w:color w:val="000000"/>
        <w:sz w:val="24"/>
        <w:szCs w:val="24"/>
      </w:rPr>
    </w:pPr>
    <w:r w:rsidRPr="00EE26F5">
      <w:rPr>
        <w:rFonts w:ascii="Arial" w:eastAsia="Arial" w:hAnsi="Arial" w:cs="Arial"/>
        <w:b/>
        <w:noProof/>
        <w:color w:val="000000"/>
        <w:sz w:val="24"/>
        <w:szCs w:val="24"/>
        <w:lang w:val="es-MX" w:eastAsia="es-MX"/>
      </w:rPr>
      <w:drawing>
        <wp:inline distT="0" distB="0" distL="0" distR="0" wp14:anchorId="222C3E9A" wp14:editId="166A5092">
          <wp:extent cx="22098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0111" cy="838318"/>
                  </a:xfrm>
                  <a:prstGeom prst="rect">
                    <a:avLst/>
                  </a:prstGeom>
                </pic:spPr>
              </pic:pic>
            </a:graphicData>
          </a:graphic>
        </wp:inline>
      </w:drawing>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sidRPr="00EE26F5">
      <w:rPr>
        <w:rFonts w:ascii="Arial" w:eastAsia="Arial" w:hAnsi="Arial" w:cs="Arial"/>
        <w:b/>
        <w:noProof/>
        <w:color w:val="000000"/>
        <w:sz w:val="24"/>
        <w:szCs w:val="24"/>
        <w:lang w:val="es-MX" w:eastAsia="es-MX"/>
      </w:rPr>
      <w:drawing>
        <wp:inline distT="0" distB="0" distL="0" distR="0" wp14:anchorId="15321F4A" wp14:editId="0BCC0FB5">
          <wp:extent cx="1019175" cy="828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19327" cy="828799"/>
                  </a:xfrm>
                  <a:prstGeom prst="rect">
                    <a:avLst/>
                  </a:prstGeom>
                </pic:spPr>
              </pic:pic>
            </a:graphicData>
          </a:graphic>
        </wp:inline>
      </w:drawing>
    </w:r>
  </w:p>
  <w:p w:rsidR="00FF15C4" w:rsidRDefault="00221231">
    <w:pPr>
      <w:pStyle w:val="Normal1"/>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Anexo Of. DGP/</w:t>
    </w:r>
    <w:r w:rsidR="00EE26F5">
      <w:rPr>
        <w:rFonts w:ascii="Arial" w:eastAsia="Arial" w:hAnsi="Arial" w:cs="Arial"/>
        <w:b/>
        <w:color w:val="000000"/>
        <w:sz w:val="24"/>
        <w:szCs w:val="24"/>
      </w:rPr>
      <w:t>0044</w:t>
    </w:r>
    <w:r>
      <w:rPr>
        <w:rFonts w:ascii="Arial" w:eastAsia="Arial" w:hAnsi="Arial" w:cs="Arial"/>
        <w:b/>
        <w:color w:val="000000"/>
        <w:sz w:val="24"/>
        <w:szCs w:val="24"/>
      </w:rPr>
      <w:t>/201</w:t>
    </w:r>
    <w:r w:rsidR="00BE163F">
      <w:rPr>
        <w:rFonts w:ascii="Arial" w:eastAsia="Arial" w:hAnsi="Arial" w:cs="Arial"/>
        <w:b/>
        <w:color w:val="000000"/>
        <w:sz w:val="24"/>
        <w:szCs w:val="24"/>
      </w:rPr>
      <w:t>9</w:t>
    </w:r>
  </w:p>
  <w:p w:rsidR="00EE26F5" w:rsidRPr="00EE26F5" w:rsidRDefault="00EE26F5">
    <w:pPr>
      <w:pStyle w:val="Normal1"/>
      <w:pBdr>
        <w:top w:val="nil"/>
        <w:left w:val="nil"/>
        <w:bottom w:val="nil"/>
        <w:right w:val="nil"/>
        <w:between w:val="nil"/>
      </w:pBdr>
      <w:jc w:val="right"/>
      <w:rPr>
        <w:rFonts w:ascii="Arial" w:eastAsia="Arial" w:hAnsi="Arial" w:cs="Arial"/>
        <w:color w:val="000000"/>
        <w:sz w:val="16"/>
        <w:szCs w:val="16"/>
      </w:rPr>
    </w:pPr>
  </w:p>
  <w:p w:rsidR="00FF15C4" w:rsidRPr="00EE26F5" w:rsidRDefault="00EE26F5" w:rsidP="00EE26F5">
    <w:pPr>
      <w:pStyle w:val="Normal1"/>
      <w:pBdr>
        <w:top w:val="nil"/>
        <w:left w:val="nil"/>
        <w:bottom w:val="nil"/>
        <w:right w:val="nil"/>
        <w:between w:val="nil"/>
      </w:pBdr>
      <w:jc w:val="center"/>
      <w:rPr>
        <w:rFonts w:ascii="Arial" w:eastAsia="Arial" w:hAnsi="Arial" w:cs="Arial"/>
        <w:b/>
        <w:color w:val="000000"/>
        <w:sz w:val="24"/>
        <w:szCs w:val="24"/>
      </w:rPr>
    </w:pPr>
    <w:r w:rsidRPr="00EE26F5">
      <w:rPr>
        <w:rFonts w:ascii="Arial" w:eastAsia="Arial" w:hAnsi="Arial" w:cs="Arial"/>
        <w:b/>
        <w:color w:val="000000"/>
        <w:sz w:val="24"/>
        <w:szCs w:val="24"/>
      </w:rPr>
      <w:t>INSTITUTO JALISCIENSE DE CANCEROLOGIA</w:t>
    </w:r>
  </w:p>
  <w:p w:rsidR="00EE26F5" w:rsidRPr="00EE26F5" w:rsidRDefault="00EE26F5">
    <w:pPr>
      <w:pStyle w:val="Normal1"/>
      <w:pBdr>
        <w:top w:val="nil"/>
        <w:left w:val="nil"/>
        <w:bottom w:val="nil"/>
        <w:right w:val="nil"/>
        <w:between w:val="nil"/>
      </w:pBdr>
      <w:rPr>
        <w:rFonts w:ascii="Arial" w:eastAsia="Arial" w:hAnsi="Arial" w:cs="Arial"/>
        <w:color w:val="000000"/>
        <w:sz w:val="1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5C4"/>
    <w:rsid w:val="00021548"/>
    <w:rsid w:val="00041099"/>
    <w:rsid w:val="00066656"/>
    <w:rsid w:val="000D4FD6"/>
    <w:rsid w:val="000F24BF"/>
    <w:rsid w:val="00107A2F"/>
    <w:rsid w:val="001B4492"/>
    <w:rsid w:val="001B7C96"/>
    <w:rsid w:val="001C221E"/>
    <w:rsid w:val="001D2307"/>
    <w:rsid w:val="001F7C95"/>
    <w:rsid w:val="00221231"/>
    <w:rsid w:val="00273362"/>
    <w:rsid w:val="002745B3"/>
    <w:rsid w:val="00284892"/>
    <w:rsid w:val="00291E47"/>
    <w:rsid w:val="0029277E"/>
    <w:rsid w:val="002B14BF"/>
    <w:rsid w:val="002B475F"/>
    <w:rsid w:val="002D11CB"/>
    <w:rsid w:val="002E3B4E"/>
    <w:rsid w:val="00302ACE"/>
    <w:rsid w:val="00392E2F"/>
    <w:rsid w:val="003D17D0"/>
    <w:rsid w:val="003E6093"/>
    <w:rsid w:val="00403A8F"/>
    <w:rsid w:val="00413E1F"/>
    <w:rsid w:val="00425121"/>
    <w:rsid w:val="00452BA6"/>
    <w:rsid w:val="00472557"/>
    <w:rsid w:val="004905D6"/>
    <w:rsid w:val="004A3330"/>
    <w:rsid w:val="004F6769"/>
    <w:rsid w:val="00547FDC"/>
    <w:rsid w:val="005C1C5B"/>
    <w:rsid w:val="005D55D7"/>
    <w:rsid w:val="005E52DE"/>
    <w:rsid w:val="005E5382"/>
    <w:rsid w:val="00682150"/>
    <w:rsid w:val="006D31CC"/>
    <w:rsid w:val="006D78FB"/>
    <w:rsid w:val="007113BB"/>
    <w:rsid w:val="007339A6"/>
    <w:rsid w:val="00755711"/>
    <w:rsid w:val="007741C2"/>
    <w:rsid w:val="007F087D"/>
    <w:rsid w:val="008104AD"/>
    <w:rsid w:val="00811FEC"/>
    <w:rsid w:val="00821353"/>
    <w:rsid w:val="009224EF"/>
    <w:rsid w:val="00932D5E"/>
    <w:rsid w:val="00944247"/>
    <w:rsid w:val="00945D96"/>
    <w:rsid w:val="00956E86"/>
    <w:rsid w:val="009D1256"/>
    <w:rsid w:val="009E4712"/>
    <w:rsid w:val="009F497E"/>
    <w:rsid w:val="00A501FC"/>
    <w:rsid w:val="00A94AC6"/>
    <w:rsid w:val="00AC564E"/>
    <w:rsid w:val="00B25E25"/>
    <w:rsid w:val="00B46EDD"/>
    <w:rsid w:val="00BE163F"/>
    <w:rsid w:val="00C42E81"/>
    <w:rsid w:val="00C71A39"/>
    <w:rsid w:val="00C80AA5"/>
    <w:rsid w:val="00CB6183"/>
    <w:rsid w:val="00CE49A7"/>
    <w:rsid w:val="00CF3122"/>
    <w:rsid w:val="00D021C7"/>
    <w:rsid w:val="00D03C05"/>
    <w:rsid w:val="00D061AE"/>
    <w:rsid w:val="00D17F99"/>
    <w:rsid w:val="00D8009D"/>
    <w:rsid w:val="00DB569C"/>
    <w:rsid w:val="00DC3A4A"/>
    <w:rsid w:val="00DD0CDE"/>
    <w:rsid w:val="00E66353"/>
    <w:rsid w:val="00E67C39"/>
    <w:rsid w:val="00E83109"/>
    <w:rsid w:val="00EE1874"/>
    <w:rsid w:val="00EE26F5"/>
    <w:rsid w:val="00EE7FFB"/>
    <w:rsid w:val="00EF63F0"/>
    <w:rsid w:val="00F27BAF"/>
    <w:rsid w:val="00F42693"/>
    <w:rsid w:val="00F83DC6"/>
    <w:rsid w:val="00FA5AE0"/>
    <w:rsid w:val="00FB399A"/>
    <w:rsid w:val="00FE4C30"/>
    <w:rsid w:val="00FF1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37049-880B-4D01-AE56-36171ED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C2"/>
  </w:style>
  <w:style w:type="paragraph" w:styleId="Ttulo1">
    <w:name w:val="heading 1"/>
    <w:basedOn w:val="Normal1"/>
    <w:next w:val="Normal1"/>
    <w:rsid w:val="00FF15C4"/>
    <w:pPr>
      <w:keepNext/>
      <w:keepLines/>
      <w:spacing w:before="480" w:after="120"/>
      <w:outlineLvl w:val="0"/>
    </w:pPr>
    <w:rPr>
      <w:b/>
      <w:sz w:val="48"/>
      <w:szCs w:val="48"/>
    </w:rPr>
  </w:style>
  <w:style w:type="paragraph" w:styleId="Ttulo2">
    <w:name w:val="heading 2"/>
    <w:basedOn w:val="Normal1"/>
    <w:next w:val="Normal1"/>
    <w:rsid w:val="00FF15C4"/>
    <w:pPr>
      <w:keepNext/>
      <w:keepLines/>
      <w:spacing w:before="360" w:after="80"/>
      <w:outlineLvl w:val="1"/>
    </w:pPr>
    <w:rPr>
      <w:b/>
      <w:sz w:val="36"/>
      <w:szCs w:val="36"/>
    </w:rPr>
  </w:style>
  <w:style w:type="paragraph" w:styleId="Ttulo3">
    <w:name w:val="heading 3"/>
    <w:basedOn w:val="Normal1"/>
    <w:next w:val="Normal1"/>
    <w:rsid w:val="00FF15C4"/>
    <w:pPr>
      <w:keepNext/>
      <w:keepLines/>
      <w:spacing w:before="280" w:after="80"/>
      <w:outlineLvl w:val="2"/>
    </w:pPr>
    <w:rPr>
      <w:b/>
      <w:sz w:val="28"/>
      <w:szCs w:val="28"/>
    </w:rPr>
  </w:style>
  <w:style w:type="paragraph" w:styleId="Ttulo4">
    <w:name w:val="heading 4"/>
    <w:basedOn w:val="Normal1"/>
    <w:next w:val="Normal1"/>
    <w:rsid w:val="00FF15C4"/>
    <w:pPr>
      <w:keepNext/>
      <w:keepLines/>
      <w:spacing w:before="240" w:after="40"/>
      <w:outlineLvl w:val="3"/>
    </w:pPr>
    <w:rPr>
      <w:b/>
      <w:sz w:val="24"/>
      <w:szCs w:val="24"/>
    </w:rPr>
  </w:style>
  <w:style w:type="paragraph" w:styleId="Ttulo5">
    <w:name w:val="heading 5"/>
    <w:basedOn w:val="Normal1"/>
    <w:next w:val="Normal1"/>
    <w:rsid w:val="00FF15C4"/>
    <w:pPr>
      <w:keepNext/>
      <w:keepLines/>
      <w:spacing w:before="220" w:after="40"/>
      <w:outlineLvl w:val="4"/>
    </w:pPr>
    <w:rPr>
      <w:b/>
      <w:sz w:val="22"/>
      <w:szCs w:val="22"/>
    </w:rPr>
  </w:style>
  <w:style w:type="paragraph" w:styleId="Ttulo6">
    <w:name w:val="heading 6"/>
    <w:basedOn w:val="Normal1"/>
    <w:next w:val="Normal1"/>
    <w:rsid w:val="00FF15C4"/>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F15C4"/>
  </w:style>
  <w:style w:type="table" w:customStyle="1" w:styleId="TableNormal">
    <w:name w:val="Table Normal"/>
    <w:rsid w:val="00FF15C4"/>
    <w:tblPr>
      <w:tblCellMar>
        <w:top w:w="0" w:type="dxa"/>
        <w:left w:w="0" w:type="dxa"/>
        <w:bottom w:w="0" w:type="dxa"/>
        <w:right w:w="0" w:type="dxa"/>
      </w:tblCellMar>
    </w:tblPr>
  </w:style>
  <w:style w:type="paragraph" w:styleId="Puesto">
    <w:name w:val="Title"/>
    <w:basedOn w:val="Normal1"/>
    <w:next w:val="Normal1"/>
    <w:rsid w:val="00FF15C4"/>
    <w:pPr>
      <w:keepNext/>
      <w:keepLines/>
      <w:spacing w:before="480" w:after="120"/>
    </w:pPr>
    <w:rPr>
      <w:b/>
      <w:sz w:val="72"/>
      <w:szCs w:val="72"/>
    </w:rPr>
  </w:style>
  <w:style w:type="paragraph" w:styleId="Subttulo">
    <w:name w:val="Subtitle"/>
    <w:basedOn w:val="Normal1"/>
    <w:next w:val="Normal1"/>
    <w:rsid w:val="00FF15C4"/>
    <w:pPr>
      <w:keepNext/>
      <w:keepLines/>
      <w:spacing w:before="360" w:after="80"/>
    </w:pPr>
    <w:rPr>
      <w:rFonts w:ascii="Georgia" w:eastAsia="Georgia" w:hAnsi="Georgia" w:cs="Georgia"/>
      <w:i/>
      <w:color w:val="666666"/>
      <w:sz w:val="48"/>
      <w:szCs w:val="48"/>
    </w:rPr>
  </w:style>
  <w:style w:type="table" w:customStyle="1" w:styleId="a">
    <w:basedOn w:val="TableNormal"/>
    <w:rsid w:val="00FF15C4"/>
    <w:tblPr>
      <w:tblStyleRowBandSize w:val="1"/>
      <w:tblStyleColBandSize w:val="1"/>
      <w:tblCellMar>
        <w:top w:w="0" w:type="dxa"/>
        <w:left w:w="70" w:type="dxa"/>
        <w:bottom w:w="0" w:type="dxa"/>
        <w:right w:w="70" w:type="dxa"/>
      </w:tblCellMar>
    </w:tblPr>
  </w:style>
  <w:style w:type="table" w:customStyle="1" w:styleId="a0">
    <w:basedOn w:val="TableNormal"/>
    <w:rsid w:val="00FF15C4"/>
    <w:tblPr>
      <w:tblStyleRowBandSize w:val="1"/>
      <w:tblStyleColBandSize w:val="1"/>
      <w:tblCellMar>
        <w:top w:w="0" w:type="dxa"/>
        <w:left w:w="70" w:type="dxa"/>
        <w:bottom w:w="0" w:type="dxa"/>
        <w:right w:w="70" w:type="dxa"/>
      </w:tblCellMar>
    </w:tblPr>
  </w:style>
  <w:style w:type="table" w:customStyle="1" w:styleId="a1">
    <w:basedOn w:val="TableNormal"/>
    <w:rsid w:val="00FF15C4"/>
    <w:tblPr>
      <w:tblStyleRowBandSize w:val="1"/>
      <w:tblStyleColBandSize w:val="1"/>
      <w:tblCellMar>
        <w:top w:w="0" w:type="dxa"/>
        <w:left w:w="70" w:type="dxa"/>
        <w:bottom w:w="0" w:type="dxa"/>
        <w:right w:w="70" w:type="dxa"/>
      </w:tblCellMar>
    </w:tblPr>
  </w:style>
  <w:style w:type="table" w:customStyle="1" w:styleId="a2">
    <w:basedOn w:val="TableNormal"/>
    <w:rsid w:val="00FF15C4"/>
    <w:tblPr>
      <w:tblStyleRowBandSize w:val="1"/>
      <w:tblStyleColBandSize w:val="1"/>
      <w:tblCellMar>
        <w:top w:w="0" w:type="dxa"/>
        <w:left w:w="70" w:type="dxa"/>
        <w:bottom w:w="0" w:type="dxa"/>
        <w:right w:w="70" w:type="dxa"/>
      </w:tblCellMar>
    </w:tblPr>
  </w:style>
  <w:style w:type="table" w:customStyle="1" w:styleId="a3">
    <w:basedOn w:val="TableNormal"/>
    <w:rsid w:val="00FF15C4"/>
    <w:tblPr>
      <w:tblStyleRowBandSize w:val="1"/>
      <w:tblStyleColBandSize w:val="1"/>
      <w:tblCellMar>
        <w:top w:w="0" w:type="dxa"/>
        <w:left w:w="70" w:type="dxa"/>
        <w:bottom w:w="0" w:type="dxa"/>
        <w:right w:w="70" w:type="dxa"/>
      </w:tblCellMar>
    </w:tblPr>
  </w:style>
  <w:style w:type="table" w:customStyle="1" w:styleId="a4">
    <w:basedOn w:val="TableNormal"/>
    <w:rsid w:val="00FF15C4"/>
    <w:tblPr>
      <w:tblStyleRowBandSize w:val="1"/>
      <w:tblStyleColBandSize w:val="1"/>
      <w:tblCellMar>
        <w:top w:w="0" w:type="dxa"/>
        <w:left w:w="70" w:type="dxa"/>
        <w:bottom w:w="0" w:type="dxa"/>
        <w:right w:w="70" w:type="dxa"/>
      </w:tblCellMar>
    </w:tblPr>
  </w:style>
  <w:style w:type="table" w:customStyle="1" w:styleId="a5">
    <w:basedOn w:val="TableNormal"/>
    <w:rsid w:val="00FF15C4"/>
    <w:tblPr>
      <w:tblStyleRowBandSize w:val="1"/>
      <w:tblStyleColBandSize w:val="1"/>
      <w:tblCellMar>
        <w:top w:w="0" w:type="dxa"/>
        <w:left w:w="70" w:type="dxa"/>
        <w:bottom w:w="0" w:type="dxa"/>
        <w:right w:w="70" w:type="dxa"/>
      </w:tblCellMar>
    </w:tblPr>
  </w:style>
  <w:style w:type="table" w:customStyle="1" w:styleId="a6">
    <w:basedOn w:val="TableNormal"/>
    <w:rsid w:val="00FF15C4"/>
    <w:tblPr>
      <w:tblStyleRowBandSize w:val="1"/>
      <w:tblStyleColBandSize w:val="1"/>
      <w:tblCellMar>
        <w:top w:w="0" w:type="dxa"/>
        <w:left w:w="70" w:type="dxa"/>
        <w:bottom w:w="0" w:type="dxa"/>
        <w:right w:w="70" w:type="dxa"/>
      </w:tblCellMar>
    </w:tblPr>
  </w:style>
  <w:style w:type="table" w:customStyle="1" w:styleId="a7">
    <w:basedOn w:val="TableNormal"/>
    <w:rsid w:val="00FF15C4"/>
    <w:tblPr>
      <w:tblStyleRowBandSize w:val="1"/>
      <w:tblStyleColBandSize w:val="1"/>
      <w:tblCellMar>
        <w:top w:w="0" w:type="dxa"/>
        <w:left w:w="70" w:type="dxa"/>
        <w:bottom w:w="0" w:type="dxa"/>
        <w:right w:w="70" w:type="dxa"/>
      </w:tblCellMar>
    </w:tblPr>
  </w:style>
  <w:style w:type="table" w:customStyle="1" w:styleId="a8">
    <w:basedOn w:val="TableNormal"/>
    <w:rsid w:val="00FF15C4"/>
    <w:tblPr>
      <w:tblStyleRowBandSize w:val="1"/>
      <w:tblStyleColBandSize w:val="1"/>
      <w:tblCellMar>
        <w:top w:w="0" w:type="dxa"/>
        <w:left w:w="70" w:type="dxa"/>
        <w:bottom w:w="0" w:type="dxa"/>
        <w:right w:w="70" w:type="dxa"/>
      </w:tblCellMar>
    </w:tblPr>
  </w:style>
  <w:style w:type="table" w:customStyle="1" w:styleId="a9">
    <w:basedOn w:val="TableNormal"/>
    <w:rsid w:val="00FF15C4"/>
    <w:tblPr>
      <w:tblStyleRowBandSize w:val="1"/>
      <w:tblStyleColBandSize w:val="1"/>
      <w:tblCellMar>
        <w:top w:w="0" w:type="dxa"/>
        <w:left w:w="108" w:type="dxa"/>
        <w:bottom w:w="0" w:type="dxa"/>
        <w:right w:w="108" w:type="dxa"/>
      </w:tblCellMar>
    </w:tblPr>
  </w:style>
  <w:style w:type="table" w:customStyle="1" w:styleId="aa">
    <w:basedOn w:val="TableNormal"/>
    <w:rsid w:val="00FF15C4"/>
    <w:tblPr>
      <w:tblStyleRowBandSize w:val="1"/>
      <w:tblStyleColBandSize w:val="1"/>
      <w:tblCellMar>
        <w:top w:w="0" w:type="dxa"/>
        <w:left w:w="70" w:type="dxa"/>
        <w:bottom w:w="0" w:type="dxa"/>
        <w:right w:w="70" w:type="dxa"/>
      </w:tblCellMar>
    </w:tblPr>
  </w:style>
  <w:style w:type="table" w:customStyle="1" w:styleId="ab">
    <w:basedOn w:val="TableNormal"/>
    <w:rsid w:val="00FF15C4"/>
    <w:tblPr>
      <w:tblStyleRowBandSize w:val="1"/>
      <w:tblStyleColBandSize w:val="1"/>
      <w:tblCellMar>
        <w:top w:w="0" w:type="dxa"/>
        <w:left w:w="108" w:type="dxa"/>
        <w:bottom w:w="0" w:type="dxa"/>
        <w:right w:w="108" w:type="dxa"/>
      </w:tblCellMar>
    </w:tblPr>
  </w:style>
  <w:style w:type="table" w:customStyle="1" w:styleId="ac">
    <w:basedOn w:val="TableNormal"/>
    <w:rsid w:val="00FF15C4"/>
    <w:tblPr>
      <w:tblStyleRowBandSize w:val="1"/>
      <w:tblStyleColBandSize w:val="1"/>
      <w:tblCellMar>
        <w:top w:w="0" w:type="dxa"/>
        <w:left w:w="70" w:type="dxa"/>
        <w:bottom w:w="0" w:type="dxa"/>
        <w:right w:w="70" w:type="dxa"/>
      </w:tblCellMar>
    </w:tblPr>
  </w:style>
  <w:style w:type="table" w:customStyle="1" w:styleId="ad">
    <w:basedOn w:val="TableNormal"/>
    <w:rsid w:val="00FF15C4"/>
    <w:tblPr>
      <w:tblStyleRowBandSize w:val="1"/>
      <w:tblStyleColBandSize w:val="1"/>
      <w:tblCellMar>
        <w:top w:w="0" w:type="dxa"/>
        <w:left w:w="70" w:type="dxa"/>
        <w:bottom w:w="0" w:type="dxa"/>
        <w:right w:w="70" w:type="dxa"/>
      </w:tblCellMar>
    </w:tblPr>
  </w:style>
  <w:style w:type="table" w:customStyle="1" w:styleId="ae">
    <w:basedOn w:val="TableNormal"/>
    <w:rsid w:val="00FF15C4"/>
    <w:tblPr>
      <w:tblStyleRowBandSize w:val="1"/>
      <w:tblStyleColBandSize w:val="1"/>
      <w:tblCellMar>
        <w:top w:w="0" w:type="dxa"/>
        <w:left w:w="70" w:type="dxa"/>
        <w:bottom w:w="0" w:type="dxa"/>
        <w:right w:w="70" w:type="dxa"/>
      </w:tblCellMar>
    </w:tblPr>
  </w:style>
  <w:style w:type="table" w:customStyle="1" w:styleId="af">
    <w:basedOn w:val="TableNormal"/>
    <w:rsid w:val="00FF15C4"/>
    <w:tblPr>
      <w:tblStyleRowBandSize w:val="1"/>
      <w:tblStyleColBandSize w:val="1"/>
      <w:tblCellMar>
        <w:top w:w="0" w:type="dxa"/>
        <w:left w:w="70" w:type="dxa"/>
        <w:bottom w:w="0" w:type="dxa"/>
        <w:right w:w="70" w:type="dxa"/>
      </w:tblCellMar>
    </w:tblPr>
  </w:style>
  <w:style w:type="table" w:customStyle="1" w:styleId="af0">
    <w:basedOn w:val="TableNormal"/>
    <w:rsid w:val="00FF15C4"/>
    <w:tblPr>
      <w:tblStyleRowBandSize w:val="1"/>
      <w:tblStyleColBandSize w:val="1"/>
      <w:tblCellMar>
        <w:top w:w="0" w:type="dxa"/>
        <w:left w:w="70" w:type="dxa"/>
        <w:bottom w:w="0" w:type="dxa"/>
        <w:right w:w="70" w:type="dxa"/>
      </w:tblCellMar>
    </w:tblPr>
  </w:style>
  <w:style w:type="table" w:customStyle="1" w:styleId="af1">
    <w:basedOn w:val="TableNormal"/>
    <w:rsid w:val="00FF15C4"/>
    <w:tblPr>
      <w:tblStyleRowBandSize w:val="1"/>
      <w:tblStyleColBandSize w:val="1"/>
      <w:tblCellMar>
        <w:top w:w="0" w:type="dxa"/>
        <w:left w:w="70" w:type="dxa"/>
        <w:bottom w:w="0" w:type="dxa"/>
        <w:right w:w="70" w:type="dxa"/>
      </w:tblCellMar>
    </w:tblPr>
  </w:style>
  <w:style w:type="table" w:customStyle="1" w:styleId="af2">
    <w:basedOn w:val="TableNormal"/>
    <w:rsid w:val="00FF15C4"/>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47FDC"/>
    <w:pPr>
      <w:tabs>
        <w:tab w:val="center" w:pos="4252"/>
        <w:tab w:val="right" w:pos="8504"/>
      </w:tabs>
    </w:pPr>
  </w:style>
  <w:style w:type="character" w:customStyle="1" w:styleId="EncabezadoCar">
    <w:name w:val="Encabezado Car"/>
    <w:basedOn w:val="Fuentedeprrafopredeter"/>
    <w:link w:val="Encabezado"/>
    <w:uiPriority w:val="99"/>
    <w:rsid w:val="00547FDC"/>
  </w:style>
  <w:style w:type="paragraph" w:styleId="Piedepgina">
    <w:name w:val="footer"/>
    <w:basedOn w:val="Normal"/>
    <w:link w:val="PiedepginaCar"/>
    <w:uiPriority w:val="99"/>
    <w:unhideWhenUsed/>
    <w:rsid w:val="00547FDC"/>
    <w:pPr>
      <w:tabs>
        <w:tab w:val="center" w:pos="4252"/>
        <w:tab w:val="right" w:pos="8504"/>
      </w:tabs>
    </w:pPr>
  </w:style>
  <w:style w:type="character" w:customStyle="1" w:styleId="PiedepginaCar">
    <w:name w:val="Pie de página Car"/>
    <w:basedOn w:val="Fuentedeprrafopredeter"/>
    <w:link w:val="Piedepgina"/>
    <w:uiPriority w:val="99"/>
    <w:rsid w:val="00547FDC"/>
  </w:style>
  <w:style w:type="paragraph" w:styleId="Textodeglobo">
    <w:name w:val="Balloon Text"/>
    <w:basedOn w:val="Normal"/>
    <w:link w:val="TextodegloboCar"/>
    <w:uiPriority w:val="99"/>
    <w:semiHidden/>
    <w:unhideWhenUsed/>
    <w:rsid w:val="00EE26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6F5"/>
    <w:rPr>
      <w:rFonts w:ascii="Segoe UI" w:hAnsi="Segoe UI" w:cs="Segoe UI"/>
      <w:sz w:val="18"/>
      <w:szCs w:val="18"/>
    </w:rPr>
  </w:style>
  <w:style w:type="table" w:styleId="Tablaconcuadrcula">
    <w:name w:val="Table Grid"/>
    <w:basedOn w:val="Tablanormal"/>
    <w:uiPriority w:val="59"/>
    <w:rsid w:val="00EE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jc.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Marquez Bobadilla</cp:lastModifiedBy>
  <cp:revision>26</cp:revision>
  <cp:lastPrinted>2019-01-22T21:50:00Z</cp:lastPrinted>
  <dcterms:created xsi:type="dcterms:W3CDTF">2018-12-18T16:34:00Z</dcterms:created>
  <dcterms:modified xsi:type="dcterms:W3CDTF">2019-01-22T21:50:00Z</dcterms:modified>
</cp:coreProperties>
</file>