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C" w:rsidRDefault="001B40DC" w:rsidP="001B40DC">
      <w:pPr>
        <w:spacing w:line="240" w:lineRule="auto"/>
        <w:contextualSpacing/>
        <w:rPr>
          <w:rFonts w:ascii="Arial" w:eastAsia="MS Mincho" w:hAnsi="Arial" w:cs="Arial"/>
          <w:b/>
          <w:bCs/>
          <w:sz w:val="28"/>
          <w:szCs w:val="28"/>
          <w:lang w:eastAsia="es-ES"/>
        </w:rPr>
      </w:pPr>
      <w:proofErr w:type="spellStart"/>
      <w:r w:rsidRPr="00940790">
        <w:rPr>
          <w:rFonts w:ascii="Arial" w:eastAsia="MS Mincho" w:hAnsi="Arial" w:cs="Arial"/>
          <w:b/>
          <w:bCs/>
          <w:sz w:val="28"/>
          <w:szCs w:val="28"/>
          <w:lang w:eastAsia="es-ES"/>
        </w:rPr>
        <w:t>Tec</w:t>
      </w:r>
      <w:proofErr w:type="spellEnd"/>
      <w:r w:rsidRPr="00940790">
        <w:rPr>
          <w:rFonts w:ascii="Arial" w:eastAsia="MS Mincho" w:hAnsi="Arial" w:cs="Arial"/>
          <w:b/>
          <w:bCs/>
          <w:sz w:val="28"/>
          <w:szCs w:val="28"/>
          <w:lang w:eastAsia="es-ES"/>
        </w:rPr>
        <w:t>. Victoria Jiménez Rodríguez</w:t>
      </w:r>
      <w:bookmarkStart w:id="0" w:name="_GoBack"/>
      <w:bookmarkEnd w:id="0"/>
    </w:p>
    <w:p w:rsidR="001B40DC" w:rsidRPr="00B95C37" w:rsidRDefault="001B40DC" w:rsidP="001B40DC">
      <w:pPr>
        <w:spacing w:line="240" w:lineRule="auto"/>
        <w:contextualSpacing/>
        <w:rPr>
          <w:rFonts w:ascii="Arial" w:eastAsia="MS Mincho" w:hAnsi="Arial" w:cs="Arial"/>
          <w:i/>
          <w:sz w:val="24"/>
          <w:szCs w:val="24"/>
          <w:lang w:eastAsia="es-ES"/>
        </w:rPr>
      </w:pPr>
      <w:r w:rsidRPr="00B95C37">
        <w:rPr>
          <w:rFonts w:ascii="Arial" w:eastAsia="MS Mincho" w:hAnsi="Arial" w:cs="Arial"/>
          <w:i/>
          <w:sz w:val="24"/>
          <w:szCs w:val="24"/>
          <w:lang w:eastAsia="es-ES"/>
        </w:rPr>
        <w:t>C</w:t>
      </w:r>
      <w:r w:rsidRPr="0033127F">
        <w:rPr>
          <w:rFonts w:ascii="Arial" w:eastAsia="MS Mincho" w:hAnsi="Arial" w:cs="Arial"/>
          <w:i/>
          <w:sz w:val="24"/>
          <w:szCs w:val="24"/>
          <w:lang w:eastAsia="es-ES"/>
        </w:rPr>
        <w:t>ontestación a la</w:t>
      </w:r>
      <w:r>
        <w:rPr>
          <w:rFonts w:ascii="Arial" w:eastAsia="MS Mincho" w:hAnsi="Arial" w:cs="Arial"/>
          <w:i/>
          <w:sz w:val="24"/>
          <w:szCs w:val="24"/>
          <w:lang w:eastAsia="es-ES"/>
        </w:rPr>
        <w:t>s observaciones 3.5 y 3.6</w:t>
      </w:r>
    </w:p>
    <w:p w:rsidR="001B40DC" w:rsidRDefault="001B40DC" w:rsidP="001C48F3"/>
    <w:p w:rsidR="001C48F3" w:rsidRDefault="001C48F3" w:rsidP="001B40DC">
      <w:pPr>
        <w:jc w:val="both"/>
      </w:pPr>
      <w:r>
        <w:t>ACLARACIÓN</w:t>
      </w:r>
    </w:p>
    <w:p w:rsidR="001C48F3" w:rsidRDefault="001C48F3" w:rsidP="001B40DC">
      <w:pPr>
        <w:jc w:val="both"/>
      </w:pPr>
      <w:r>
        <w:t>Punto 3.5</w:t>
      </w:r>
    </w:p>
    <w:p w:rsidR="001C48F3" w:rsidRDefault="001C48F3" w:rsidP="001B40DC">
      <w:pPr>
        <w:jc w:val="both"/>
      </w:pPr>
      <w:r>
        <w:t xml:space="preserve">Cuando se repusieron las motosierras no se consideró necesario poner la denuncia respectiva ante el ministerio público ya que se debió al descuido del </w:t>
      </w:r>
      <w:proofErr w:type="spellStart"/>
      <w:r>
        <w:t>reguardante</w:t>
      </w:r>
      <w:proofErr w:type="spellEnd"/>
      <w:r>
        <w:t xml:space="preserve">, quien en su oportunidad repuso el equipo. Por otro lado, las motosierras tienen características muy similares, siendo que las diferencias que se pudieran encontrar son mínimas y no influyen en el uso del equipo. Con respecto al radio portátil sí existe denuncia (anexo 33) y el </w:t>
      </w:r>
      <w:proofErr w:type="spellStart"/>
      <w:r>
        <w:t>resguardante</w:t>
      </w:r>
      <w:proofErr w:type="spellEnd"/>
      <w:r>
        <w:t xml:space="preserve"> se comprometió con el Organismo a reponerlo en 30 días a partir del 15 de enero de 2015. (Anexo 26)</w:t>
      </w:r>
    </w:p>
    <w:p w:rsidR="001C48F3" w:rsidRDefault="001C48F3" w:rsidP="001B40DC">
      <w:pPr>
        <w:jc w:val="both"/>
      </w:pPr>
      <w:r>
        <w:t xml:space="preserve">Cabe aclarar que el artículo 32 </w:t>
      </w:r>
      <w:proofErr w:type="gramStart"/>
      <w:r>
        <w:t>fracción</w:t>
      </w:r>
      <w:proofErr w:type="gramEnd"/>
      <w:r>
        <w:t xml:space="preserve"> XIII corresponde al Reglamento Interno del Organismo Público Descentralizado y no al Fideicomiso siendo que el equipo materia de la observación, se regía por las reglas de operación del Fideicomiso y las leyes aplicables al mismo.</w:t>
      </w:r>
    </w:p>
    <w:p w:rsidR="001C48F3" w:rsidRDefault="001C48F3" w:rsidP="001B40DC">
      <w:pPr>
        <w:jc w:val="both"/>
      </w:pPr>
      <w:r>
        <w:t>Punto 3.5</w:t>
      </w:r>
    </w:p>
    <w:p w:rsidR="00EA7DD0" w:rsidRDefault="001C48F3" w:rsidP="001B40DC">
      <w:pPr>
        <w:jc w:val="both"/>
      </w:pPr>
      <w:r>
        <w:t xml:space="preserve">Fecha compromiso.- El radio portátil se repondrá por el </w:t>
      </w:r>
      <w:proofErr w:type="spellStart"/>
      <w:r>
        <w:t>resguardante</w:t>
      </w:r>
      <w:proofErr w:type="spellEnd"/>
      <w:r>
        <w:t xml:space="preserve"> en 30 días contados a partir del 15 de enero de 2015 y una vez repuesto se asentará en el inventario. (Anexo 26)</w:t>
      </w:r>
    </w:p>
    <w:p w:rsidR="001C48F3" w:rsidRDefault="001C48F3" w:rsidP="001B40DC">
      <w:pPr>
        <w:jc w:val="both"/>
      </w:pPr>
      <w:r w:rsidRPr="001C48F3">
        <w:t>3.6.</w:t>
      </w:r>
      <w:r w:rsidRPr="001C48F3">
        <w:tab/>
        <w:t>- Los bienes en comodato a los que hace mención en el presente numeral ya se encuentran en las cuentas de orden, se anexa póliza de diario (anexo 34).</w:t>
      </w:r>
    </w:p>
    <w:sectPr w:rsidR="001C48F3" w:rsidSect="001B40DC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EB" w:rsidRDefault="00FD0BEB" w:rsidP="001B40DC">
      <w:pPr>
        <w:spacing w:after="0" w:line="240" w:lineRule="auto"/>
      </w:pPr>
      <w:r>
        <w:separator/>
      </w:r>
    </w:p>
  </w:endnote>
  <w:endnote w:type="continuationSeparator" w:id="0">
    <w:p w:rsidR="00FD0BEB" w:rsidRDefault="00FD0BEB" w:rsidP="001B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EB" w:rsidRDefault="00FD0BEB" w:rsidP="001B40DC">
      <w:pPr>
        <w:spacing w:after="0" w:line="240" w:lineRule="auto"/>
      </w:pPr>
      <w:r>
        <w:separator/>
      </w:r>
    </w:p>
  </w:footnote>
  <w:footnote w:type="continuationSeparator" w:id="0">
    <w:p w:rsidR="00FD0BEB" w:rsidRDefault="00FD0BEB" w:rsidP="001B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220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40DC" w:rsidRDefault="001B40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:rsidR="001B40DC" w:rsidRDefault="001B4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F3"/>
    <w:rsid w:val="001B40DC"/>
    <w:rsid w:val="001C48F3"/>
    <w:rsid w:val="00EA7DD0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5E725-2595-4D5D-99D1-8B84672D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DC"/>
  </w:style>
  <w:style w:type="paragraph" w:styleId="Footer">
    <w:name w:val="footer"/>
    <w:basedOn w:val="Normal"/>
    <w:link w:val="FooterChar"/>
    <w:uiPriority w:val="99"/>
    <w:unhideWhenUsed/>
    <w:rsid w:val="001B4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Mario Salomón González</dc:creator>
  <cp:keywords/>
  <dc:description/>
  <cp:lastModifiedBy>José Mario Salomón González</cp:lastModifiedBy>
  <cp:revision>2</cp:revision>
  <dcterms:created xsi:type="dcterms:W3CDTF">2015-07-02T15:24:00Z</dcterms:created>
  <dcterms:modified xsi:type="dcterms:W3CDTF">2015-08-17T16:38:00Z</dcterms:modified>
</cp:coreProperties>
</file>