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BB2228" w:rsidRDefault="001C63AA" w:rsidP="009538C9">
      <w:pPr>
        <w:pStyle w:val="Textoindependiente"/>
        <w:jc w:val="center"/>
        <w:rPr>
          <w:rFonts w:cs="Arial"/>
          <w:b/>
          <w:bCs/>
          <w:sz w:val="28"/>
          <w:szCs w:val="28"/>
        </w:rPr>
      </w:pPr>
      <w:r>
        <w:rPr>
          <w:rFonts w:cs="Arial"/>
          <w:b/>
          <w:bCs/>
          <w:sz w:val="28"/>
          <w:szCs w:val="28"/>
        </w:rPr>
        <w:t>ANEXO “B</w:t>
      </w:r>
      <w:r w:rsidR="00BB2228" w:rsidRPr="00BB2228">
        <w:rPr>
          <w:rFonts w:cs="Arial"/>
          <w:b/>
          <w:bCs/>
          <w:sz w:val="28"/>
          <w:szCs w:val="28"/>
        </w:rPr>
        <w:t>”</w:t>
      </w:r>
    </w:p>
    <w:p w:rsidR="009538C9" w:rsidRPr="00BB2228" w:rsidRDefault="009538C9" w:rsidP="009538C9">
      <w:pPr>
        <w:pStyle w:val="Textoindependiente"/>
        <w:jc w:val="center"/>
        <w:rPr>
          <w:rFonts w:cs="Arial"/>
          <w:b/>
          <w:bCs/>
          <w:sz w:val="28"/>
          <w:szCs w:val="28"/>
        </w:rPr>
      </w:pPr>
    </w:p>
    <w:p w:rsidR="009538C9" w:rsidRPr="00BB2228" w:rsidRDefault="009538C9" w:rsidP="009538C9">
      <w:pPr>
        <w:pStyle w:val="Textoindependiente"/>
        <w:jc w:val="center"/>
        <w:rPr>
          <w:rFonts w:cs="Arial"/>
          <w:b/>
          <w:bCs/>
          <w:sz w:val="21"/>
          <w:szCs w:val="21"/>
        </w:rPr>
      </w:pPr>
      <w:r w:rsidRPr="00BB2228">
        <w:rPr>
          <w:rFonts w:cs="Arial"/>
          <w:b/>
          <w:bCs/>
          <w:sz w:val="21"/>
          <w:szCs w:val="21"/>
        </w:rPr>
        <w:t>FIDEICOMISO DE TURISMO DE LA ZONA METROPOLITANA DE GUADALAJARA</w:t>
      </w:r>
    </w:p>
    <w:p w:rsidR="009860CE" w:rsidRDefault="009538C9" w:rsidP="00BB2228">
      <w:pPr>
        <w:pStyle w:val="Textoindependiente"/>
        <w:jc w:val="center"/>
        <w:rPr>
          <w:rFonts w:cs="Arial"/>
          <w:b/>
          <w:bCs/>
        </w:rPr>
      </w:pPr>
      <w:r w:rsidRPr="00BB2228">
        <w:rPr>
          <w:rFonts w:cs="Arial"/>
          <w:b/>
          <w:bCs/>
          <w:sz w:val="21"/>
          <w:szCs w:val="21"/>
        </w:rPr>
        <w:t xml:space="preserve">Auditoria </w:t>
      </w:r>
      <w:r w:rsidR="00BB2228" w:rsidRPr="0073607B">
        <w:rPr>
          <w:rFonts w:cs="Arial"/>
          <w:b/>
        </w:rPr>
        <w:t>1° de enero al 31 de diciembre 2015, y del 01 de enero al 31 de diciembre del 2016 y Eventos Posteriores</w:t>
      </w:r>
      <w:r w:rsidR="00BB2228" w:rsidRPr="0073607B">
        <w:rPr>
          <w:rFonts w:cs="Arial"/>
          <w:b/>
          <w:bCs/>
        </w:rPr>
        <w:t>.</w:t>
      </w:r>
    </w:p>
    <w:p w:rsidR="00BB2228" w:rsidRPr="00BB2228" w:rsidRDefault="00BB2228" w:rsidP="00BB2228">
      <w:pPr>
        <w:pStyle w:val="Textoindependiente"/>
        <w:jc w:val="center"/>
        <w:rPr>
          <w:rFonts w:cs="Arial"/>
          <w:b/>
          <w:sz w:val="21"/>
          <w:szCs w:val="21"/>
        </w:rPr>
      </w:pPr>
    </w:p>
    <w:p w:rsidR="009860CE" w:rsidRDefault="001C63AA" w:rsidP="00BB2228">
      <w:pPr>
        <w:pStyle w:val="Textoindependiente"/>
        <w:jc w:val="right"/>
        <w:rPr>
          <w:rFonts w:cs="Arial"/>
          <w:b/>
          <w:sz w:val="21"/>
          <w:szCs w:val="21"/>
        </w:rPr>
      </w:pPr>
      <w:r>
        <w:rPr>
          <w:rFonts w:cs="Arial"/>
          <w:b/>
          <w:sz w:val="21"/>
          <w:szCs w:val="21"/>
        </w:rPr>
        <w:t>Observación No. 1.2</w:t>
      </w:r>
      <w:r w:rsidR="009860CE" w:rsidRPr="00BB2228">
        <w:rPr>
          <w:rFonts w:cs="Arial"/>
          <w:b/>
          <w:sz w:val="21"/>
          <w:szCs w:val="21"/>
        </w:rPr>
        <w:t>.  P</w:t>
      </w:r>
      <w:r>
        <w:rPr>
          <w:rFonts w:cs="Arial"/>
          <w:b/>
          <w:sz w:val="21"/>
          <w:szCs w:val="21"/>
        </w:rPr>
        <w:t xml:space="preserve">ágina 2 </w:t>
      </w:r>
      <w:r w:rsidR="00BB2228">
        <w:rPr>
          <w:rFonts w:cs="Arial"/>
          <w:b/>
          <w:sz w:val="21"/>
          <w:szCs w:val="21"/>
        </w:rPr>
        <w:t>de 1</w:t>
      </w:r>
      <w:r w:rsidR="00327FC0">
        <w:rPr>
          <w:rFonts w:cs="Arial"/>
          <w:b/>
          <w:sz w:val="21"/>
          <w:szCs w:val="21"/>
        </w:rPr>
        <w:t>2</w:t>
      </w:r>
    </w:p>
    <w:p w:rsidR="001C63AA" w:rsidRPr="00E13013" w:rsidRDefault="001C63AA" w:rsidP="001C63AA">
      <w:pPr>
        <w:jc w:val="both"/>
        <w:rPr>
          <w:rFonts w:ascii="Arial" w:hAnsi="Arial" w:cs="Arial"/>
          <w:b/>
        </w:rPr>
      </w:pPr>
      <w:r>
        <w:rPr>
          <w:rFonts w:ascii="Arial" w:hAnsi="Arial" w:cs="Arial"/>
          <w:b/>
        </w:rPr>
        <w:t>1.0.- Egresos.</w:t>
      </w:r>
    </w:p>
    <w:p w:rsidR="00BB2228" w:rsidRPr="001C63AA" w:rsidRDefault="001C63AA">
      <w:pPr>
        <w:rPr>
          <w:rFonts w:ascii="Arial" w:hAnsi="Arial" w:cs="Arial"/>
          <w:b/>
          <w:i/>
          <w:u w:val="single"/>
        </w:rPr>
      </w:pPr>
      <w:r w:rsidRPr="00E13013">
        <w:rPr>
          <w:rFonts w:ascii="Arial" w:hAnsi="Arial" w:cs="Arial"/>
          <w:b/>
          <w:i/>
          <w:u w:val="single"/>
        </w:rPr>
        <w:t>Pagos a Comercializadora OFVC</w:t>
      </w:r>
    </w:p>
    <w:p w:rsidR="00051F4B" w:rsidRDefault="00051F4B">
      <w:pPr>
        <w:rPr>
          <w:rFonts w:ascii="Arial" w:hAnsi="Arial" w:cs="Arial"/>
          <w:b/>
          <w:i/>
          <w:sz w:val="21"/>
          <w:szCs w:val="21"/>
          <w:u w:val="single"/>
        </w:rPr>
      </w:pPr>
      <w:r w:rsidRPr="00BB2228">
        <w:rPr>
          <w:rFonts w:ascii="Arial" w:hAnsi="Arial" w:cs="Arial"/>
          <w:b/>
          <w:i/>
          <w:sz w:val="21"/>
          <w:szCs w:val="21"/>
          <w:u w:val="single"/>
        </w:rPr>
        <w:t>Contestación:</w:t>
      </w:r>
    </w:p>
    <w:p w:rsidR="001C63AA" w:rsidRDefault="001D1C65" w:rsidP="001D1C65">
      <w:pPr>
        <w:widowControl w:val="0"/>
        <w:spacing w:after="0"/>
        <w:ind w:right="55"/>
        <w:jc w:val="both"/>
        <w:rPr>
          <w:rFonts w:ascii="Arial" w:hAnsi="Arial" w:cs="Arial"/>
          <w:sz w:val="18"/>
          <w:szCs w:val="18"/>
        </w:rPr>
      </w:pPr>
      <w:r w:rsidRPr="001D1C65">
        <w:rPr>
          <w:rFonts w:ascii="Arial" w:hAnsi="Arial" w:cs="Arial"/>
          <w:b/>
          <w:sz w:val="18"/>
          <w:szCs w:val="18"/>
        </w:rPr>
        <w:t xml:space="preserve">1.2.- </w:t>
      </w:r>
      <w:r w:rsidRPr="001D1C65">
        <w:rPr>
          <w:rStyle w:val="Cuerpodeltexto6Versales"/>
          <w:sz w:val="18"/>
          <w:szCs w:val="18"/>
        </w:rPr>
        <w:t xml:space="preserve">EN CUANTO A LA OBSERVACIÓN MARCADA CON EL NÚMERO 1.2 </w:t>
      </w:r>
      <w:r w:rsidRPr="001D1C65">
        <w:rPr>
          <w:rStyle w:val="Cuerpodeltexto60"/>
          <w:sz w:val="18"/>
          <w:szCs w:val="18"/>
        </w:rPr>
        <w:t xml:space="preserve">DEL </w:t>
      </w:r>
      <w:r w:rsidRPr="001D1C65">
        <w:rPr>
          <w:rStyle w:val="Cuerpodeltexto6Versales"/>
          <w:sz w:val="18"/>
          <w:szCs w:val="18"/>
        </w:rPr>
        <w:t xml:space="preserve">OFICIO DE </w:t>
      </w:r>
      <w:r w:rsidRPr="001D1C65">
        <w:rPr>
          <w:rFonts w:ascii="Arial" w:hAnsi="Arial" w:cs="Arial"/>
          <w:sz w:val="18"/>
          <w:szCs w:val="18"/>
        </w:rPr>
        <w:t xml:space="preserve">MÉRITO, EN LA QUE SE OBSERVÓ UN SUPUESTO COBRO INJUSTIFICADO, RESPECTO DEL PAGO HECHO POR EL FIDEICOMISO POR CONCEPTO DE SERVICIOS PROFESIONALES DE LA EMPRESA COMERCIALIZADORA </w:t>
      </w:r>
      <w:r w:rsidRPr="001D1C65">
        <w:rPr>
          <w:rStyle w:val="Cuerpodeltexto105pto"/>
          <w:sz w:val="18"/>
          <w:szCs w:val="18"/>
        </w:rPr>
        <w:t xml:space="preserve">OFVC, S.A. </w:t>
      </w:r>
      <w:r w:rsidRPr="001D1C65">
        <w:rPr>
          <w:rFonts w:ascii="Arial" w:hAnsi="Arial" w:cs="Arial"/>
          <w:sz w:val="18"/>
          <w:szCs w:val="18"/>
        </w:rPr>
        <w:t xml:space="preserve">DE </w:t>
      </w:r>
      <w:r w:rsidRPr="001D1C65">
        <w:rPr>
          <w:rStyle w:val="Cuerpodeltexto105pto"/>
          <w:sz w:val="18"/>
          <w:szCs w:val="18"/>
        </w:rPr>
        <w:t xml:space="preserve">C.V. (COFSA), </w:t>
      </w:r>
      <w:r w:rsidRPr="001D1C65">
        <w:rPr>
          <w:rFonts w:ascii="Arial" w:hAnsi="Arial" w:cs="Arial"/>
          <w:sz w:val="18"/>
          <w:szCs w:val="18"/>
        </w:rPr>
        <w:t xml:space="preserve">A LA CUAL SE LE SUFRAGÓ UN TOTAL DE </w:t>
      </w:r>
      <w:r>
        <w:rPr>
          <w:rFonts w:ascii="Arial" w:hAnsi="Arial" w:cs="Arial"/>
          <w:sz w:val="18"/>
          <w:szCs w:val="18"/>
        </w:rPr>
        <w:t>$</w:t>
      </w:r>
      <w:r w:rsidRPr="001D1C65">
        <w:rPr>
          <w:rFonts w:ascii="Arial" w:hAnsi="Arial" w:cs="Arial"/>
          <w:sz w:val="18"/>
          <w:szCs w:val="18"/>
        </w:rPr>
        <w:t>4‘217,587.64 (CUATRO MILLONES DOSCIENTOS DIEZ Y SIETE MIL QUINIENTOS OCHENTA Y SIETE PESOS 64/100 M.N.), PARA REALIZAR LAS ACCIONES Y TRABAJOS QUE, SE DICE EN LA OBSERVACIÓN, LE COMPETE ÚNICA Y EXCLUSIVAMENTE A ESTE OR</w:t>
      </w:r>
      <w:r>
        <w:rPr>
          <w:rFonts w:ascii="Arial" w:hAnsi="Arial" w:cs="Arial"/>
          <w:sz w:val="18"/>
          <w:szCs w:val="18"/>
        </w:rPr>
        <w:t>GANISMO, SE SEÑALA LO SIGUIENTE</w:t>
      </w:r>
    </w:p>
    <w:p w:rsidR="001D1C65" w:rsidRPr="001D1C65" w:rsidRDefault="001D1C65" w:rsidP="001D1C65">
      <w:pPr>
        <w:widowControl w:val="0"/>
        <w:tabs>
          <w:tab w:val="left" w:pos="355"/>
        </w:tabs>
        <w:spacing w:after="0"/>
        <w:ind w:right="55"/>
        <w:rPr>
          <w:rFonts w:ascii="Arial" w:hAnsi="Arial" w:cs="Arial"/>
          <w:sz w:val="18"/>
          <w:szCs w:val="18"/>
        </w:rPr>
      </w:pPr>
    </w:p>
    <w:p w:rsidR="001C63AA" w:rsidRDefault="001D1C65" w:rsidP="001D1C65">
      <w:pPr>
        <w:pStyle w:val="Cuerpodeltexto0"/>
        <w:shd w:val="clear" w:color="auto" w:fill="auto"/>
        <w:tabs>
          <w:tab w:val="left" w:pos="1378"/>
        </w:tabs>
        <w:spacing w:after="0" w:line="276" w:lineRule="auto"/>
        <w:ind w:right="60" w:firstLine="0"/>
        <w:rPr>
          <w:sz w:val="18"/>
          <w:szCs w:val="18"/>
        </w:rPr>
      </w:pPr>
      <w:r>
        <w:rPr>
          <w:rStyle w:val="Cuerpodeltexto105pto"/>
          <w:sz w:val="18"/>
          <w:szCs w:val="18"/>
        </w:rPr>
        <w:t>a</w:t>
      </w:r>
      <w:r w:rsidRPr="001D1C65">
        <w:rPr>
          <w:rStyle w:val="Cuerpodeltexto105pto"/>
          <w:sz w:val="18"/>
          <w:szCs w:val="18"/>
        </w:rPr>
        <w:t xml:space="preserve">).- COFSA, </w:t>
      </w:r>
      <w:r w:rsidRPr="001D1C65">
        <w:rPr>
          <w:sz w:val="18"/>
          <w:szCs w:val="18"/>
        </w:rPr>
        <w:t xml:space="preserve">ES UNA EMPRESA CONSTITUIDA CON LA FINALIDAD DE LA OPERACIÓN DE LA LOGISTICA Y HOSPEDAJE PARA LOS JUEGOS PANAMERICANOS GUADALAJARA </w:t>
      </w:r>
      <w:r w:rsidRPr="001D1C65">
        <w:rPr>
          <w:rStyle w:val="Cuerpodeltexto6Versales"/>
          <w:sz w:val="18"/>
          <w:szCs w:val="18"/>
        </w:rPr>
        <w:t>2011. DEBIDO AL ÉXITO EN ESTE EVENTO Y OTROS IMPORTANTES EVENTOS</w:t>
      </w:r>
      <w:r w:rsidRPr="001D1C65">
        <w:rPr>
          <w:sz w:val="18"/>
          <w:szCs w:val="18"/>
        </w:rPr>
        <w:t>GESTIONADOS POR DICHA EMPRESA, LA EXPERIENCIA OBTENIDA, SU RECOMENDACIÓN POR PARTES IMPORTANTES DE LA INDUSTRIA TURÍSTICA, ADEMÁS DE SER UNA COMPAÑÍA LOCAL Y LAS EXCELENTES CONDICIONES BRINDADAS EN CUANTO A PRECIO Y FINANCIAMIENTO PARA A TRAVÉS DE LA MISMA REALIZAR LA CONTRATACIÓN DE SERVICIOS DE HOSPEDAJE, TRANSPORTACIÓN AÉREA Y TERRESTRE, ENTRE OTROS, SE OPTÓ POR UTILIZARLA COMO PROVEEDOR PARA LA CONSECUCIÓN DE LOS FINES DEL FIDEICOMISO.</w:t>
      </w:r>
    </w:p>
    <w:p w:rsidR="001D1C65" w:rsidRPr="001D1C65" w:rsidRDefault="001D1C65" w:rsidP="001D1C65">
      <w:pPr>
        <w:pStyle w:val="Cuerpodeltexto0"/>
        <w:shd w:val="clear" w:color="auto" w:fill="auto"/>
        <w:tabs>
          <w:tab w:val="left" w:pos="1378"/>
        </w:tabs>
        <w:spacing w:after="0" w:line="276" w:lineRule="auto"/>
        <w:ind w:right="60" w:firstLine="0"/>
        <w:rPr>
          <w:sz w:val="18"/>
          <w:szCs w:val="18"/>
        </w:rPr>
      </w:pPr>
    </w:p>
    <w:p w:rsidR="001C63AA" w:rsidRPr="001D1C65" w:rsidRDefault="001D1C65" w:rsidP="001D1C65">
      <w:pPr>
        <w:pStyle w:val="Cuerpodeltexto0"/>
        <w:shd w:val="clear" w:color="auto" w:fill="auto"/>
        <w:tabs>
          <w:tab w:val="left" w:pos="1411"/>
        </w:tabs>
        <w:ind w:right="60" w:firstLine="0"/>
        <w:rPr>
          <w:sz w:val="18"/>
          <w:szCs w:val="18"/>
        </w:rPr>
      </w:pPr>
      <w:r>
        <w:rPr>
          <w:sz w:val="18"/>
          <w:szCs w:val="18"/>
        </w:rPr>
        <w:t xml:space="preserve">b).- </w:t>
      </w:r>
      <w:r w:rsidRPr="001D1C65">
        <w:rPr>
          <w:sz w:val="18"/>
          <w:szCs w:val="18"/>
        </w:rPr>
        <w:t>DURANTE LOS EJERCICIOS AUDITADOS DE 2015 Y 2016, EL FIDEICOMISO DE TURISMO DE LA ZONA METROPOLITANA DE GUADALAJARA, EFECTIVAMENTE REALIZÓ ATRAVÉS DE LA MISMA, EL MONTO DE LAS EROGACIONES SEÑALADAS POR $4’217,587.64 (CUATRO MILLONES DOSCIENTOS DIEZ Y SIETE MIL QUINIENTOS OCHENTA Y SIETE PESOS 64/100 M.N.) Y QUE SE DOCUMENTARON EN LAS 9 FACTURAS MENCIONADAS EN LA OBSERVACIÓN QUE SE CONTESTA, MISMOS QUE SIRVIERON PARA LOGRAR EN GRAN MEDIDA LOS FINES QUE MARCA EL CONTRATO DEL FIDEICOMISO DE TURISMO DE LA ZONA METROPOLITANA COMO PARTE DE LAS ACTIVIDADES EN LAS QUE INVIRTIÓ LA CANTIDAD DESCRITA ANTERIORMENTE, SE APOYARON VARIOS CONGRESOS Y CONVENCIONES DE LOS CUALES SE MENCIONAN A CONTINUACIÓN ALGUNA DE LOS TRASCENDENTES Y QUE DEJARON UNA GRAN DERRAMA TURÍSTICA EN LA ZONA METROPOLITANA DE GUADALAJARA COMO SON:</w:t>
      </w:r>
    </w:p>
    <w:p w:rsidR="001C63AA" w:rsidRDefault="001D1C65" w:rsidP="00327FC0">
      <w:pPr>
        <w:pStyle w:val="Cuerpodeltexto0"/>
        <w:shd w:val="clear" w:color="auto" w:fill="auto"/>
        <w:spacing w:after="0"/>
        <w:ind w:right="62" w:firstLine="0"/>
        <w:rPr>
          <w:rStyle w:val="CuerpodeltextoVersales"/>
          <w:sz w:val="18"/>
          <w:szCs w:val="18"/>
        </w:rPr>
      </w:pPr>
      <w:r w:rsidRPr="001D1C65">
        <w:rPr>
          <w:sz w:val="18"/>
          <w:szCs w:val="18"/>
        </w:rPr>
        <w:t>CONGRESO NACIONAL CANAIVE, COULTURS, INTERMODA, FITUR , CONVENCIÓN NACIONAL 21ST CENTURY, INTERMODA, OLIMPIADA NACIONAL, MEDIO MARATÓN, FESTIVAL COME AFAMJAL, HOSPITALES CIVILES, FICG, CONGREGO PROCTÓLOGO, XXXVIII TORNEO ANUAL GOLF, HARLEY DAVIDSON, DIALOGO MULTICULTURAL, OLIMPIADA 2016, DIALOGO MULTICULTURAL, OLIMPIADAS ESTATALES 2016, FAM FIASEET 2015, CONGRESO MEXICANO DEL PETRÓLEO, CONGRESO DE COLEGA, EXPO PROTECCIÓN 2015, EXPO MECÁNICO AUTOMOTRIZ, ARLAJ, LXXVII CONGRESO NEUMONÍA Y TÓRAX, CONGRESO NACIONAL CIRUGÍA CARDIACA, EXPO PUBLICITARIA, EXPO FERRETERA, ELECTRICON, CHARROS DEJALISCO, SOLO POR SEÑALAR LOS MÁS RELEVANTES.</w:t>
      </w:r>
      <w:r w:rsidR="00327FC0">
        <w:rPr>
          <w:sz w:val="18"/>
          <w:szCs w:val="18"/>
        </w:rPr>
        <w:t xml:space="preserve"> </w:t>
      </w:r>
      <w:r w:rsidRPr="001D1C65">
        <w:rPr>
          <w:rStyle w:val="CuerpodeltextoVersales"/>
          <w:sz w:val="18"/>
          <w:szCs w:val="18"/>
        </w:rPr>
        <w:t>LOS EVENTOS CITADOS CON ANTERIORIDAD COADYUVARON A LOSFINES DEL FIDEICOMISO DE TURISMO DE LA ZONA METROPOLITANA DE GUADALAJARA.</w:t>
      </w:r>
    </w:p>
    <w:p w:rsidR="00327FC0" w:rsidRPr="001D1C65" w:rsidRDefault="00327FC0" w:rsidP="00327FC0">
      <w:pPr>
        <w:pStyle w:val="Cuerpodeltexto0"/>
        <w:shd w:val="clear" w:color="auto" w:fill="auto"/>
        <w:spacing w:after="0"/>
        <w:ind w:right="62" w:firstLine="0"/>
        <w:rPr>
          <w:sz w:val="18"/>
          <w:szCs w:val="18"/>
        </w:rPr>
      </w:pPr>
    </w:p>
    <w:p w:rsidR="001C63AA" w:rsidRPr="001D1C65" w:rsidRDefault="001D1C65" w:rsidP="00327FC0">
      <w:pPr>
        <w:pStyle w:val="Cuerpodeltexto0"/>
        <w:shd w:val="clear" w:color="auto" w:fill="auto"/>
        <w:tabs>
          <w:tab w:val="left" w:pos="1469"/>
        </w:tabs>
        <w:spacing w:after="240" w:line="254" w:lineRule="exact"/>
        <w:ind w:right="51" w:firstLine="0"/>
        <w:rPr>
          <w:b/>
          <w:sz w:val="18"/>
          <w:szCs w:val="18"/>
        </w:rPr>
      </w:pPr>
      <w:r>
        <w:rPr>
          <w:sz w:val="18"/>
          <w:szCs w:val="18"/>
        </w:rPr>
        <w:t xml:space="preserve">c).- </w:t>
      </w:r>
      <w:r w:rsidRPr="001D1C65">
        <w:rPr>
          <w:rStyle w:val="CuerpodeltextoVersales"/>
          <w:sz w:val="18"/>
          <w:szCs w:val="18"/>
        </w:rPr>
        <w:t>DERIVADO DE LOS PUNTOS ANTERIORES, SE PUEDE CO</w:t>
      </w:r>
      <w:bookmarkStart w:id="0" w:name="_GoBack"/>
      <w:bookmarkEnd w:id="0"/>
      <w:r w:rsidRPr="001D1C65">
        <w:rPr>
          <w:rStyle w:val="CuerpodeltextoVersales"/>
          <w:sz w:val="18"/>
          <w:szCs w:val="18"/>
        </w:rPr>
        <w:t>NCLUIR QUE EL FIDEICOMISO DE TURISMO DE LA ZONA METROPOLITANA DE GUADALAJARA UTILIZÓ A COFSA UNICAMENTE COMO PROVEEDOR; EL CUAL LE OTORGÓ AL PROPIO FIDEICOMISO UNAS MEJORES CONDICIONES DE RESPUESTA EN CUANTO A</w:t>
      </w:r>
      <w:r w:rsidRPr="001D1C65">
        <w:rPr>
          <w:sz w:val="18"/>
          <w:szCs w:val="18"/>
        </w:rPr>
        <w:t>HOSPEDAJE, YA QUE RESULTÓ UNA MEJORA EL TENER TRATO DIRECTO CON UNA SOLA EMPRESA QUE CON VARIOS HOTELES; SE OBTUVIERON ADEMÁS MEJORES CONDICIONES DE OPERACIÓN, COMO POR EJEMPLO EN LA COMPRA DE BOLETOS, YA QUE LAS AEROLÍNEAS AL NO OTORGAR CRÉDITO PARA LA COMPRA DE BOLETOS DE AVIÓN Y AL NO TENER LA CAPACIDAD DE PAGO DIRECTA EN ESE MOMENTO, HUBIESE RESULTADO DIFÍCIL LA COMPRA OPORTUNA Y A BAJO COSTO DE LOS PASAJES DE AVIÓN; ADEMÁS DE QUE EL FINANCIAMIENTO QUE ESTA COMPAÑÍA DIO AL FIDEICOMISO, BENEFICIÓ AL MISMO EN LA OPERACIÓN OPORTUNA PARA LA CONSECUCIÓN DE SUS FINES.</w:t>
      </w:r>
      <w:r w:rsidR="00327FC0" w:rsidRPr="001D1C65">
        <w:rPr>
          <w:b/>
          <w:sz w:val="18"/>
          <w:szCs w:val="18"/>
        </w:rPr>
        <w:t xml:space="preserve"> </w:t>
      </w:r>
    </w:p>
    <w:sectPr w:rsidR="001C63AA" w:rsidRPr="001D1C65" w:rsidSect="001D1C65">
      <w:headerReference w:type="default" r:id="rId7"/>
      <w:foot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A3" w:rsidRDefault="003D25A3" w:rsidP="004A7110">
      <w:pPr>
        <w:spacing w:after="0" w:line="240" w:lineRule="auto"/>
      </w:pPr>
      <w:r>
        <w:separator/>
      </w:r>
    </w:p>
  </w:endnote>
  <w:endnote w:type="continuationSeparator" w:id="1">
    <w:p w:rsidR="003D25A3" w:rsidRDefault="003D25A3" w:rsidP="004A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C3" w:rsidRDefault="00D86E01">
    <w:pPr>
      <w:rPr>
        <w:sz w:val="2"/>
        <w:szCs w:val="2"/>
      </w:rPr>
    </w:pPr>
    <w:r w:rsidRPr="00D86E01">
      <w:rPr>
        <w:noProof/>
        <w:lang w:eastAsia="es-MX"/>
      </w:rPr>
      <w:pict>
        <v:shapetype id="_x0000_t202" coordsize="21600,21600" o:spt="202" path="m,l,21600r21600,l21600,xe">
          <v:stroke joinstyle="miter"/>
          <v:path gradientshapeok="t" o:connecttype="rect"/>
        </v:shapetype>
        <v:shape id="Text Box 10" o:spid="_x0000_s8193" type="#_x0000_t202" style="position:absolute;margin-left:54.6pt;margin-top:775.7pt;width:138.95pt;height:19.5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" filled="f" stroked="f">
          <v:textbox style="mso-fit-shape-to-text:t" inset="0,0,0,0">
            <w:txbxContent>
              <w:p w:rsidR="00CC38C3" w:rsidRDefault="003D25A3">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A3" w:rsidRDefault="003D25A3" w:rsidP="004A7110">
      <w:pPr>
        <w:spacing w:after="0" w:line="240" w:lineRule="auto"/>
      </w:pPr>
      <w:r>
        <w:separator/>
      </w:r>
    </w:p>
  </w:footnote>
  <w:footnote w:type="continuationSeparator" w:id="1">
    <w:p w:rsidR="003D25A3" w:rsidRDefault="003D25A3" w:rsidP="004A7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10" w:rsidRDefault="004A7110">
    <w:pPr>
      <w:pStyle w:val="Encabezado"/>
      <w:jc w:val="right"/>
    </w:pPr>
  </w:p>
  <w:p w:rsidR="004A7110" w:rsidRDefault="004A71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85A4D"/>
    <w:multiLevelType w:val="multilevel"/>
    <w:tmpl w:val="2DC8C5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63432E"/>
    <w:multiLevelType w:val="multilevel"/>
    <w:tmpl w:val="EAE880A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9119BA"/>
    <w:rsid w:val="00051F4B"/>
    <w:rsid w:val="0008029C"/>
    <w:rsid w:val="001C63AA"/>
    <w:rsid w:val="001D1C65"/>
    <w:rsid w:val="002C5E16"/>
    <w:rsid w:val="002D6395"/>
    <w:rsid w:val="00327FC0"/>
    <w:rsid w:val="003D25A3"/>
    <w:rsid w:val="004521A8"/>
    <w:rsid w:val="004911C4"/>
    <w:rsid w:val="004A7110"/>
    <w:rsid w:val="004B0E28"/>
    <w:rsid w:val="005B667E"/>
    <w:rsid w:val="009119BA"/>
    <w:rsid w:val="009171AE"/>
    <w:rsid w:val="009538C9"/>
    <w:rsid w:val="009860CE"/>
    <w:rsid w:val="009B6587"/>
    <w:rsid w:val="00A32AE6"/>
    <w:rsid w:val="00A64287"/>
    <w:rsid w:val="00B06A99"/>
    <w:rsid w:val="00B646E0"/>
    <w:rsid w:val="00BB2228"/>
    <w:rsid w:val="00D66841"/>
    <w:rsid w:val="00D86E01"/>
    <w:rsid w:val="00FC2F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character" w:customStyle="1" w:styleId="Cuerpodeltexto">
    <w:name w:val="Cuerpo del texto_"/>
    <w:basedOn w:val="Fuentedeprrafopredeter"/>
    <w:link w:val="Cuerpodeltexto0"/>
    <w:rsid w:val="005B667E"/>
    <w:rPr>
      <w:rFonts w:ascii="Arial" w:eastAsia="Arial" w:hAnsi="Arial" w:cs="Arial"/>
      <w:sz w:val="17"/>
      <w:szCs w:val="17"/>
      <w:shd w:val="clear" w:color="auto" w:fill="FFFFFF"/>
    </w:rPr>
  </w:style>
  <w:style w:type="character" w:customStyle="1" w:styleId="CuerpodeltextoTimesNewRoman">
    <w:name w:val="Cuerpo del texto + Times New Roman"/>
    <w:aliases w:val="11.5 pto,Negrita"/>
    <w:basedOn w:val="Cuerpodeltexto"/>
    <w:rsid w:val="005B667E"/>
    <w:rPr>
      <w:rFonts w:ascii="Times New Roman" w:eastAsia="Times New Roman" w:hAnsi="Times New Roman" w:cs="Times New Roman"/>
      <w:b/>
      <w:bCs/>
      <w:color w:val="000000"/>
      <w:spacing w:val="0"/>
      <w:w w:val="100"/>
      <w:position w:val="0"/>
      <w:sz w:val="23"/>
      <w:szCs w:val="23"/>
      <w:shd w:val="clear" w:color="auto" w:fill="FFFFFF"/>
      <w:lang w:val="es-ES"/>
    </w:rPr>
  </w:style>
  <w:style w:type="character" w:customStyle="1" w:styleId="Cuerpodeltexto105pto">
    <w:name w:val="Cuerpo del texto + 10.5 pto"/>
    <w:basedOn w:val="Cuerpodeltexto"/>
    <w:rsid w:val="005B667E"/>
    <w:rPr>
      <w:rFonts w:ascii="Arial" w:eastAsia="Arial" w:hAnsi="Arial" w:cs="Arial"/>
      <w:color w:val="000000"/>
      <w:spacing w:val="0"/>
      <w:w w:val="100"/>
      <w:position w:val="0"/>
      <w:sz w:val="21"/>
      <w:szCs w:val="21"/>
      <w:shd w:val="clear" w:color="auto" w:fill="FFFFFF"/>
      <w:lang w:val="es-ES"/>
    </w:rPr>
  </w:style>
  <w:style w:type="character" w:customStyle="1" w:styleId="CuerpodeltextoVersales">
    <w:name w:val="Cuerpo del texto + Versales"/>
    <w:basedOn w:val="Cuerpodeltexto"/>
    <w:rsid w:val="005B667E"/>
    <w:rPr>
      <w:rFonts w:ascii="Arial" w:eastAsia="Arial" w:hAnsi="Arial" w:cs="Arial"/>
      <w:smallCaps/>
      <w:color w:val="000000"/>
      <w:spacing w:val="0"/>
      <w:w w:val="100"/>
      <w:position w:val="0"/>
      <w:sz w:val="17"/>
      <w:szCs w:val="17"/>
      <w:shd w:val="clear" w:color="auto" w:fill="FFFFFF"/>
      <w:lang w:val="es-ES"/>
    </w:rPr>
  </w:style>
  <w:style w:type="character" w:customStyle="1" w:styleId="CuerpodeltextoNegrita">
    <w:name w:val="Cuerpo del texto + Negrita"/>
    <w:basedOn w:val="Cuerpodeltexto"/>
    <w:rsid w:val="005B667E"/>
    <w:rPr>
      <w:rFonts w:ascii="Arial" w:eastAsia="Arial" w:hAnsi="Arial" w:cs="Arial"/>
      <w:b/>
      <w:bCs/>
      <w:color w:val="000000"/>
      <w:spacing w:val="0"/>
      <w:w w:val="100"/>
      <w:position w:val="0"/>
      <w:sz w:val="17"/>
      <w:szCs w:val="17"/>
      <w:shd w:val="clear" w:color="auto" w:fill="FFFFFF"/>
      <w:lang w:val="es-ES"/>
    </w:rPr>
  </w:style>
  <w:style w:type="paragraph" w:customStyle="1" w:styleId="Cuerpodeltexto0">
    <w:name w:val="Cuerpo del texto"/>
    <w:basedOn w:val="Normal"/>
    <w:link w:val="Cuerpodeltexto"/>
    <w:rsid w:val="005B667E"/>
    <w:pPr>
      <w:widowControl w:val="0"/>
      <w:shd w:val="clear" w:color="auto" w:fill="FFFFFF"/>
      <w:spacing w:after="180" w:line="259" w:lineRule="exact"/>
      <w:ind w:hanging="380"/>
      <w:jc w:val="both"/>
    </w:pPr>
    <w:rPr>
      <w:rFonts w:ascii="Arial" w:eastAsia="Arial" w:hAnsi="Arial" w:cs="Arial"/>
      <w:sz w:val="17"/>
      <w:szCs w:val="17"/>
    </w:rPr>
  </w:style>
  <w:style w:type="paragraph" w:styleId="Prrafodelista">
    <w:name w:val="List Paragraph"/>
    <w:basedOn w:val="Normal"/>
    <w:uiPriority w:val="34"/>
    <w:qFormat/>
    <w:rsid w:val="00BB2228"/>
    <w:pPr>
      <w:spacing w:after="0" w:line="240" w:lineRule="auto"/>
      <w:ind w:left="708"/>
    </w:pPr>
    <w:rPr>
      <w:rFonts w:ascii="Times New Roman" w:eastAsia="Times New Roman" w:hAnsi="Times New Roman" w:cs="Times New Roman"/>
      <w:sz w:val="24"/>
      <w:szCs w:val="24"/>
      <w:lang w:val="es-ES" w:eastAsia="es-ES"/>
    </w:rPr>
  </w:style>
  <w:style w:type="character" w:customStyle="1" w:styleId="Cuerpodeltexto2">
    <w:name w:val="Cuerpo del texto (2)_"/>
    <w:basedOn w:val="Fuentedeprrafopredeter"/>
    <w:link w:val="Cuerpodeltexto20"/>
    <w:rsid w:val="001C63AA"/>
    <w:rPr>
      <w:rFonts w:ascii="Arial" w:eastAsia="Arial" w:hAnsi="Arial" w:cs="Arial"/>
      <w:b/>
      <w:bCs/>
      <w:sz w:val="16"/>
      <w:szCs w:val="16"/>
      <w:shd w:val="clear" w:color="auto" w:fill="FFFFFF"/>
    </w:rPr>
  </w:style>
  <w:style w:type="character" w:customStyle="1" w:styleId="Encabezamientoopiedepgina">
    <w:name w:val="Encabezamiento o pie de página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Encabezamientoopiedepgina0">
    <w:name w:val="Encabezamiento o pie de página"/>
    <w:basedOn w:val="Encabezamientoopiedepgina"/>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Cuerpodeltexto6">
    <w:name w:val="Cuerpo del texto (6)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Cuerpodeltexto6Versales">
    <w:name w:val="Cuerpo del texto (6) + Versales"/>
    <w:basedOn w:val="Cuerpodeltexto6"/>
    <w:rsid w:val="001C63AA"/>
    <w:rPr>
      <w:rFonts w:ascii="Arial" w:eastAsia="Arial" w:hAnsi="Arial" w:cs="Arial"/>
      <w:b w:val="0"/>
      <w:bCs w:val="0"/>
      <w:i w:val="0"/>
      <w:iCs w:val="0"/>
      <w:smallCaps/>
      <w:strike w:val="0"/>
      <w:color w:val="000000"/>
      <w:spacing w:val="0"/>
      <w:w w:val="100"/>
      <w:position w:val="0"/>
      <w:sz w:val="17"/>
      <w:szCs w:val="17"/>
      <w:u w:val="none"/>
      <w:lang w:val="es-ES"/>
    </w:rPr>
  </w:style>
  <w:style w:type="character" w:customStyle="1" w:styleId="Cuerpodeltexto60">
    <w:name w:val="Cuerpo del texto (6)"/>
    <w:basedOn w:val="Cuerpodeltexto6"/>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Ttulo3">
    <w:name w:val="Título #3_"/>
    <w:basedOn w:val="Fuentedeprrafopredeter"/>
    <w:rsid w:val="001C63AA"/>
    <w:rPr>
      <w:rFonts w:ascii="Times New Roman" w:eastAsia="Times New Roman" w:hAnsi="Times New Roman" w:cs="Times New Roman"/>
      <w:b/>
      <w:bCs/>
      <w:i w:val="0"/>
      <w:iCs w:val="0"/>
      <w:smallCaps w:val="0"/>
      <w:strike w:val="0"/>
      <w:spacing w:val="-70"/>
      <w:sz w:val="156"/>
      <w:szCs w:val="156"/>
      <w:u w:val="none"/>
    </w:rPr>
  </w:style>
  <w:style w:type="character" w:customStyle="1" w:styleId="Ttulo30">
    <w:name w:val="Título #3"/>
    <w:basedOn w:val="Ttulo3"/>
    <w:rsid w:val="001C63AA"/>
    <w:rPr>
      <w:rFonts w:ascii="Times New Roman" w:eastAsia="Times New Roman" w:hAnsi="Times New Roman" w:cs="Times New Roman"/>
      <w:b/>
      <w:bCs/>
      <w:i w:val="0"/>
      <w:iCs w:val="0"/>
      <w:smallCaps w:val="0"/>
      <w:strike w:val="0"/>
      <w:color w:val="000000"/>
      <w:spacing w:val="-70"/>
      <w:w w:val="100"/>
      <w:position w:val="0"/>
      <w:sz w:val="156"/>
      <w:szCs w:val="156"/>
      <w:u w:val="none"/>
      <w:lang w:val="es-ES"/>
    </w:rPr>
  </w:style>
  <w:style w:type="paragraph" w:customStyle="1" w:styleId="Cuerpodeltexto20">
    <w:name w:val="Cuerpo del texto (2)"/>
    <w:basedOn w:val="Normal"/>
    <w:link w:val="Cuerpodeltexto2"/>
    <w:rsid w:val="001C63AA"/>
    <w:pPr>
      <w:widowControl w:val="0"/>
      <w:shd w:val="clear" w:color="auto" w:fill="FFFFFF"/>
      <w:spacing w:after="0" w:line="0" w:lineRule="atLeast"/>
    </w:pPr>
    <w:rPr>
      <w:rFonts w:ascii="Arial" w:eastAsia="Arial" w:hAnsi="Arial" w:cs="Arial"/>
      <w:b/>
      <w:bCs/>
      <w:sz w:val="16"/>
      <w:szCs w:val="16"/>
    </w:rPr>
  </w:style>
  <w:style w:type="paragraph" w:styleId="Encabezado">
    <w:name w:val="header"/>
    <w:basedOn w:val="Normal"/>
    <w:link w:val="EncabezadoCar"/>
    <w:uiPriority w:val="99"/>
    <w:unhideWhenUsed/>
    <w:rsid w:val="004A7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110"/>
  </w:style>
  <w:style w:type="paragraph" w:styleId="Piedepgina">
    <w:name w:val="footer"/>
    <w:basedOn w:val="Normal"/>
    <w:link w:val="PiedepginaCar"/>
    <w:uiPriority w:val="99"/>
    <w:unhideWhenUsed/>
    <w:rsid w:val="004A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1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14</cp:revision>
  <dcterms:created xsi:type="dcterms:W3CDTF">2014-05-02T19:52:00Z</dcterms:created>
  <dcterms:modified xsi:type="dcterms:W3CDTF">2018-11-27T16:14:00Z</dcterms:modified>
</cp:coreProperties>
</file>