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871185" w:rsidP="00322439">
      <w:pPr>
        <w:pStyle w:val="Textoindependiente"/>
        <w:jc w:val="center"/>
        <w:rPr>
          <w:rFonts w:ascii="Frutiger-Light" w:hAnsi="Frutiger-Light"/>
          <w:b/>
          <w:bCs/>
          <w:sz w:val="28"/>
          <w:szCs w:val="28"/>
        </w:rPr>
      </w:pPr>
      <w:r>
        <w:rPr>
          <w:rFonts w:ascii="Frutiger-Light" w:hAnsi="Frutiger-Light"/>
          <w:b/>
          <w:bCs/>
          <w:sz w:val="28"/>
          <w:szCs w:val="28"/>
        </w:rPr>
        <w:t>ANEXO “D</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322439" w:rsidRPr="00D66841" w:rsidRDefault="00607F9C" w:rsidP="00322439">
      <w:pPr>
        <w:pStyle w:val="Textoindependiente"/>
        <w:jc w:val="center"/>
        <w:rPr>
          <w:rFonts w:ascii="Frutiger-Light" w:hAnsi="Frutiger-Light"/>
          <w:b/>
          <w:bCs/>
          <w:sz w:val="21"/>
          <w:szCs w:val="21"/>
        </w:rPr>
      </w:pPr>
      <w:r>
        <w:rPr>
          <w:rFonts w:ascii="Frutiger-Light" w:hAnsi="Frutiger-Light"/>
          <w:b/>
          <w:bCs/>
          <w:sz w:val="21"/>
          <w:szCs w:val="21"/>
        </w:rPr>
        <w:t>INSTITUTO JALISCIENSE DE CANCEROLOGIA</w:t>
      </w:r>
    </w:p>
    <w:p w:rsidR="009860CE" w:rsidRPr="00607F9C" w:rsidRDefault="00322439" w:rsidP="00607F9C">
      <w:pPr>
        <w:pStyle w:val="Textoindependiente"/>
        <w:jc w:val="center"/>
        <w:rPr>
          <w:rFonts w:ascii="Frutiger-Light" w:hAnsi="Frutiger-Light"/>
          <w:b/>
          <w:sz w:val="20"/>
        </w:rPr>
      </w:pPr>
      <w:r w:rsidRPr="00607F9C">
        <w:rPr>
          <w:rFonts w:ascii="Frutiger-Light" w:hAnsi="Frutiger-Light"/>
          <w:b/>
          <w:bCs/>
          <w:sz w:val="20"/>
        </w:rPr>
        <w:t xml:space="preserve">Auditoria </w:t>
      </w:r>
      <w:r w:rsidR="00607F9C" w:rsidRPr="00607F9C">
        <w:rPr>
          <w:rFonts w:cs="Arial"/>
          <w:b/>
          <w:sz w:val="20"/>
        </w:rPr>
        <w:t>Del 01 de enero al 31 de diciembre de 2016 y del 01 de enero al 31 de diciembre de 2017.</w:t>
      </w:r>
    </w:p>
    <w:p w:rsidR="001C0032" w:rsidRDefault="001C0032" w:rsidP="003F031A">
      <w:pPr>
        <w:pStyle w:val="Textoindependiente"/>
        <w:jc w:val="right"/>
        <w:rPr>
          <w:rFonts w:ascii="Frutiger-Light" w:hAnsi="Frutiger-Light"/>
          <w:b/>
          <w:sz w:val="21"/>
          <w:szCs w:val="21"/>
        </w:rPr>
      </w:pPr>
    </w:p>
    <w:p w:rsidR="00D66841" w:rsidRPr="00D66841" w:rsidRDefault="00112C8E" w:rsidP="003F031A">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871185">
        <w:rPr>
          <w:rFonts w:ascii="Frutiger-Light" w:hAnsi="Frutiger-Light"/>
          <w:b/>
          <w:sz w:val="21"/>
          <w:szCs w:val="21"/>
        </w:rPr>
        <w:t>3.1</w:t>
      </w:r>
      <w:r>
        <w:rPr>
          <w:rFonts w:ascii="Frutiger-Light" w:hAnsi="Frutiger-Light"/>
          <w:b/>
          <w:sz w:val="21"/>
          <w:szCs w:val="21"/>
        </w:rPr>
        <w:t xml:space="preserve">.- </w:t>
      </w:r>
      <w:r w:rsidR="009860CE">
        <w:rPr>
          <w:rFonts w:ascii="Frutiger-Light" w:hAnsi="Frutiger-Light"/>
          <w:b/>
          <w:sz w:val="21"/>
          <w:szCs w:val="21"/>
        </w:rPr>
        <w:t xml:space="preserve">  P</w:t>
      </w:r>
      <w:r w:rsidR="00871185">
        <w:rPr>
          <w:rFonts w:ascii="Frutiger-Light" w:hAnsi="Frutiger-Light"/>
          <w:b/>
          <w:sz w:val="21"/>
          <w:szCs w:val="21"/>
        </w:rPr>
        <w:t>ágina 3</w:t>
      </w:r>
      <w:r w:rsidR="00607F9C">
        <w:rPr>
          <w:rFonts w:ascii="Frutiger-Light" w:hAnsi="Frutiger-Light"/>
          <w:b/>
          <w:sz w:val="21"/>
          <w:szCs w:val="21"/>
        </w:rPr>
        <w:t xml:space="preserve"> de 5</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607F9C" w:rsidRPr="007B24AF" w:rsidRDefault="007A4A4F" w:rsidP="00607F9C">
      <w:pPr>
        <w:jc w:val="both"/>
        <w:rPr>
          <w:rFonts w:ascii="Arial" w:hAnsi="Arial" w:cs="Arial"/>
          <w:b/>
        </w:rPr>
      </w:pPr>
      <w:r>
        <w:rPr>
          <w:rFonts w:ascii="Arial" w:hAnsi="Arial" w:cs="Arial"/>
          <w:b/>
        </w:rPr>
        <w:t>3</w:t>
      </w:r>
      <w:r w:rsidR="00607F9C" w:rsidRPr="007B24AF">
        <w:rPr>
          <w:rFonts w:ascii="Arial" w:hAnsi="Arial" w:cs="Arial"/>
          <w:b/>
        </w:rPr>
        <w:t xml:space="preserve">.0.- </w:t>
      </w:r>
      <w:r>
        <w:rPr>
          <w:rFonts w:ascii="Arial" w:hAnsi="Arial" w:cs="Arial"/>
          <w:b/>
        </w:rPr>
        <w:t>Adquisiciones</w:t>
      </w:r>
      <w:r w:rsidR="00607F9C" w:rsidRPr="007B24AF">
        <w:rPr>
          <w:rFonts w:ascii="Arial" w:hAnsi="Arial" w:cs="Arial"/>
          <w:b/>
        </w:rPr>
        <w:t>.</w:t>
      </w:r>
    </w:p>
    <w:p w:rsidR="00607F9C" w:rsidRPr="007B24AF" w:rsidRDefault="007A4A4F" w:rsidP="00607F9C">
      <w:pPr>
        <w:jc w:val="both"/>
        <w:rPr>
          <w:rFonts w:ascii="Arial" w:hAnsi="Arial" w:cs="Arial"/>
          <w:b/>
          <w:i/>
          <w:u w:val="single"/>
        </w:rPr>
      </w:pPr>
      <w:r>
        <w:rPr>
          <w:rFonts w:ascii="Arial" w:hAnsi="Arial" w:cs="Arial"/>
          <w:b/>
          <w:i/>
          <w:u w:val="single"/>
        </w:rPr>
        <w:t>Compras Fraccionadas</w:t>
      </w:r>
      <w:r w:rsidR="00607F9C" w:rsidRPr="00FA7C90">
        <w:rPr>
          <w:rFonts w:ascii="Arial" w:hAnsi="Arial" w:cs="Arial"/>
          <w:b/>
          <w:i/>
          <w:u w:val="single"/>
        </w:rPr>
        <w:t>:</w:t>
      </w:r>
    </w:p>
    <w:p w:rsidR="00051F4B" w:rsidRPr="009860CE" w:rsidRDefault="00051F4B">
      <w:pPr>
        <w:rPr>
          <w:rFonts w:ascii="Frutiger-Light" w:hAnsi="Frutiger-Light"/>
          <w:b/>
          <w:i/>
          <w:sz w:val="21"/>
          <w:szCs w:val="21"/>
          <w:u w:val="single"/>
        </w:rPr>
      </w:pPr>
      <w:r w:rsidRPr="009860CE">
        <w:rPr>
          <w:rFonts w:ascii="Frutiger-Light" w:hAnsi="Frutiger-Light"/>
          <w:b/>
          <w:i/>
          <w:sz w:val="21"/>
          <w:szCs w:val="21"/>
          <w:u w:val="single"/>
        </w:rPr>
        <w:t>Contestación:</w:t>
      </w:r>
    </w:p>
    <w:p w:rsidR="007A4A4F" w:rsidRDefault="009A163D" w:rsidP="007A4A4F">
      <w:pPr>
        <w:jc w:val="both"/>
        <w:rPr>
          <w:rFonts w:ascii="Arial" w:hAnsi="Arial" w:cs="Arial"/>
          <w:sz w:val="20"/>
          <w:szCs w:val="20"/>
        </w:rPr>
      </w:pPr>
      <w:r>
        <w:rPr>
          <w:rFonts w:ascii="Frutiger-Light" w:hAnsi="Frutiger-Light"/>
          <w:b/>
          <w:sz w:val="20"/>
        </w:rPr>
        <w:t xml:space="preserve">3.1.- </w:t>
      </w:r>
      <w:bookmarkStart w:id="0" w:name="_GoBack"/>
      <w:bookmarkEnd w:id="0"/>
      <w:r w:rsidR="007A4A4F" w:rsidRPr="00465849">
        <w:rPr>
          <w:rFonts w:ascii="Arial" w:hAnsi="Arial" w:cs="Arial"/>
          <w:sz w:val="20"/>
          <w:szCs w:val="20"/>
        </w:rPr>
        <w:t>Efectivamente si se efectuaron compras de medicamentos a nueve proveedores</w:t>
      </w:r>
      <w:r w:rsidR="007A4A4F">
        <w:rPr>
          <w:rFonts w:ascii="Arial" w:hAnsi="Arial" w:cs="Arial"/>
          <w:sz w:val="20"/>
          <w:szCs w:val="20"/>
        </w:rPr>
        <w:t>,</w:t>
      </w:r>
      <w:r w:rsidR="007A4A4F" w:rsidRPr="00465849">
        <w:rPr>
          <w:rFonts w:ascii="Arial" w:hAnsi="Arial" w:cs="Arial"/>
          <w:sz w:val="20"/>
          <w:szCs w:val="20"/>
        </w:rPr>
        <w:t xml:space="preserve"> pero no en el sentido de </w:t>
      </w:r>
      <w:r w:rsidR="007A4A4F">
        <w:rPr>
          <w:rFonts w:ascii="Arial" w:hAnsi="Arial" w:cs="Arial"/>
          <w:sz w:val="20"/>
          <w:szCs w:val="20"/>
        </w:rPr>
        <w:t xml:space="preserve">ser </w:t>
      </w:r>
      <w:r w:rsidR="007A4A4F" w:rsidRPr="00465849">
        <w:rPr>
          <w:rFonts w:ascii="Arial" w:hAnsi="Arial" w:cs="Arial"/>
          <w:sz w:val="20"/>
          <w:szCs w:val="20"/>
        </w:rPr>
        <w:t>fraccionadas ya que los tiempos y los requerimientos de los mismo no</w:t>
      </w:r>
      <w:r w:rsidR="007A4A4F">
        <w:rPr>
          <w:rFonts w:ascii="Arial" w:hAnsi="Arial" w:cs="Arial"/>
          <w:sz w:val="20"/>
          <w:szCs w:val="20"/>
        </w:rPr>
        <w:t>s</w:t>
      </w:r>
      <w:r w:rsidR="007A4A4F" w:rsidRPr="00465849">
        <w:rPr>
          <w:rFonts w:ascii="Arial" w:hAnsi="Arial" w:cs="Arial"/>
          <w:sz w:val="20"/>
          <w:szCs w:val="20"/>
        </w:rPr>
        <w:t xml:space="preserve"> obligaban a recurrir a la compra de medicinas de </w:t>
      </w:r>
      <w:r w:rsidR="007A4A4F" w:rsidRPr="00465849">
        <w:rPr>
          <w:rFonts w:ascii="Arial" w:hAnsi="Arial" w:cs="Arial"/>
          <w:b/>
          <w:sz w:val="20"/>
          <w:szCs w:val="20"/>
        </w:rPr>
        <w:t>FORMA URGENTE</w:t>
      </w:r>
      <w:r w:rsidR="007A4A4F" w:rsidRPr="00465849">
        <w:rPr>
          <w:rFonts w:ascii="Arial" w:hAnsi="Arial" w:cs="Arial"/>
          <w:sz w:val="20"/>
          <w:szCs w:val="20"/>
        </w:rPr>
        <w:t xml:space="preserve"> ya que la demanda es demasiado</w:t>
      </w:r>
      <w:r w:rsidR="007A4A4F">
        <w:rPr>
          <w:rFonts w:ascii="Arial" w:hAnsi="Arial" w:cs="Arial"/>
          <w:sz w:val="20"/>
          <w:szCs w:val="20"/>
        </w:rPr>
        <w:t xml:space="preserve"> alta, prueba de lo anterior </w:t>
      </w:r>
      <w:r w:rsidR="007A4A4F" w:rsidRPr="00465849">
        <w:rPr>
          <w:rFonts w:ascii="Arial" w:hAnsi="Arial" w:cs="Arial"/>
          <w:sz w:val="20"/>
          <w:szCs w:val="20"/>
        </w:rPr>
        <w:t xml:space="preserve">me permito informar a esa Contraloría del Estado que el Instituto de Cancerología, durante el ejercicio auditado, </w:t>
      </w:r>
      <w:r w:rsidR="007A4A4F" w:rsidRPr="00465849">
        <w:rPr>
          <w:rFonts w:ascii="Arial" w:hAnsi="Arial" w:cs="Arial"/>
          <w:b/>
          <w:sz w:val="20"/>
          <w:szCs w:val="20"/>
        </w:rPr>
        <w:t>realizó 241,704 (DOSCIENTOS CUARENTA Y UN MIL SETECIENTO CUATRO)</w:t>
      </w:r>
      <w:r w:rsidR="007A4A4F" w:rsidRPr="00465849">
        <w:rPr>
          <w:rFonts w:ascii="Arial" w:hAnsi="Arial" w:cs="Arial"/>
          <w:sz w:val="20"/>
          <w:szCs w:val="20"/>
        </w:rPr>
        <w:t xml:space="preserve"> servicios de atención a pacientes en diversos aspectos y </w:t>
      </w:r>
      <w:r w:rsidR="007A4A4F">
        <w:rPr>
          <w:rFonts w:ascii="Arial" w:hAnsi="Arial" w:cs="Arial"/>
          <w:sz w:val="20"/>
          <w:szCs w:val="20"/>
        </w:rPr>
        <w:t>que a continuación se muestran:</w:t>
      </w:r>
    </w:p>
    <w:p w:rsidR="001C0032" w:rsidRPr="007A4A4F" w:rsidRDefault="001C0032" w:rsidP="007A4A4F">
      <w:pPr>
        <w:jc w:val="both"/>
        <w:rPr>
          <w:rFonts w:ascii="Arial" w:hAnsi="Arial" w:cs="Arial"/>
          <w:sz w:val="20"/>
          <w:szCs w:val="20"/>
        </w:rPr>
      </w:pPr>
    </w:p>
    <w:tbl>
      <w:tblPr>
        <w:tblW w:w="8809" w:type="dxa"/>
        <w:jc w:val="center"/>
        <w:tblLayout w:type="fixed"/>
        <w:tblCellMar>
          <w:left w:w="70" w:type="dxa"/>
          <w:right w:w="70" w:type="dxa"/>
        </w:tblCellMar>
        <w:tblLook w:val="04A0"/>
      </w:tblPr>
      <w:tblGrid>
        <w:gridCol w:w="4507"/>
        <w:gridCol w:w="4302"/>
      </w:tblGrid>
      <w:tr w:rsidR="007A4A4F" w:rsidRPr="00465849" w:rsidTr="004A041A">
        <w:trPr>
          <w:trHeight w:val="280"/>
          <w:jc w:val="center"/>
        </w:trPr>
        <w:tc>
          <w:tcPr>
            <w:tcW w:w="4507"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7A4A4F" w:rsidRPr="00465849" w:rsidRDefault="007A4A4F" w:rsidP="004A041A">
            <w:pPr>
              <w:spacing w:after="0" w:line="240" w:lineRule="auto"/>
              <w:jc w:val="center"/>
              <w:rPr>
                <w:rFonts w:ascii="Arial" w:hAnsi="Arial" w:cs="Arial"/>
                <w:b/>
                <w:bCs/>
                <w:color w:val="000000"/>
                <w:sz w:val="20"/>
                <w:szCs w:val="20"/>
                <w:lang w:eastAsia="es-MX"/>
              </w:rPr>
            </w:pPr>
            <w:r w:rsidRPr="00465849">
              <w:rPr>
                <w:rFonts w:ascii="Arial" w:hAnsi="Arial" w:cs="Arial"/>
                <w:b/>
                <w:bCs/>
                <w:color w:val="000000"/>
                <w:sz w:val="20"/>
                <w:szCs w:val="20"/>
                <w:lang w:eastAsia="es-MX"/>
              </w:rPr>
              <w:t>SERVICIO</w:t>
            </w:r>
          </w:p>
        </w:tc>
        <w:tc>
          <w:tcPr>
            <w:tcW w:w="4302" w:type="dxa"/>
            <w:tcBorders>
              <w:top w:val="single" w:sz="8" w:space="0" w:color="auto"/>
              <w:left w:val="nil"/>
              <w:bottom w:val="single" w:sz="8" w:space="0" w:color="auto"/>
              <w:right w:val="single" w:sz="8" w:space="0" w:color="auto"/>
            </w:tcBorders>
            <w:shd w:val="clear" w:color="000000" w:fill="FDE9D9"/>
            <w:vAlign w:val="center"/>
            <w:hideMark/>
          </w:tcPr>
          <w:p w:rsidR="007A4A4F" w:rsidRPr="00465849" w:rsidRDefault="007A4A4F" w:rsidP="004A041A">
            <w:pPr>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N</w:t>
            </w:r>
            <w:r w:rsidRPr="00465849">
              <w:rPr>
                <w:rFonts w:ascii="Arial" w:hAnsi="Arial" w:cs="Arial"/>
                <w:b/>
                <w:bCs/>
                <w:color w:val="000000"/>
                <w:sz w:val="20"/>
                <w:szCs w:val="20"/>
                <w:lang w:eastAsia="es-MX"/>
              </w:rPr>
              <w:t>UMERO DE SERVICIOS</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 externa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63,479</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subsecuentes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4,444</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primera vez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294</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oncología medica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23,248</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cirugía oncológica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23,441</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radioterapia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7,350</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displasias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3,739</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especialidades de apoyo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5,701</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Dermatología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11,240</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Gastroenterología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811</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Hematología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1,499</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Neurología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559</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Traumatología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1,357</w:t>
            </w:r>
          </w:p>
        </w:tc>
      </w:tr>
      <w:tr w:rsidR="007A4A4F" w:rsidRPr="00465849" w:rsidTr="004A041A">
        <w:trPr>
          <w:trHeight w:val="227"/>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Urología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1,357</w:t>
            </w:r>
          </w:p>
        </w:tc>
      </w:tr>
      <w:tr w:rsidR="007A4A4F" w:rsidRPr="00465849" w:rsidTr="007A4A4F">
        <w:trPr>
          <w:trHeight w:val="240"/>
          <w:jc w:val="center"/>
        </w:trPr>
        <w:tc>
          <w:tcPr>
            <w:tcW w:w="450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soporte </w:t>
            </w:r>
          </w:p>
        </w:tc>
        <w:tc>
          <w:tcPr>
            <w:tcW w:w="4302" w:type="dxa"/>
            <w:tcBorders>
              <w:top w:val="single" w:sz="8" w:space="0" w:color="auto"/>
              <w:left w:val="nil"/>
              <w:bottom w:val="single" w:sz="4"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11,601</w:t>
            </w:r>
          </w:p>
        </w:tc>
      </w:tr>
      <w:tr w:rsidR="007A4A4F" w:rsidRPr="00465849" w:rsidTr="007A4A4F">
        <w:trPr>
          <w:trHeight w:val="240"/>
          <w:jc w:val="center"/>
        </w:trPr>
        <w:tc>
          <w:tcPr>
            <w:tcW w:w="450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Psicología                                  </w:t>
            </w:r>
          </w:p>
        </w:tc>
        <w:tc>
          <w:tcPr>
            <w:tcW w:w="4302" w:type="dxa"/>
            <w:tcBorders>
              <w:top w:val="single" w:sz="4" w:space="0" w:color="auto"/>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2,338</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Nutrición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5,983</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Genética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504</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Valoraciones cardiológicas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1,375</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Valoraciones pre anestésicas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1,401</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Consultas de clínica del dolor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2,134</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Cirugías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3,075</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Egresos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3,005</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Cirugías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1,540</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Quimioterapias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100</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proofErr w:type="spellStart"/>
            <w:r w:rsidRPr="00465849">
              <w:rPr>
                <w:rFonts w:ascii="Arial" w:hAnsi="Arial" w:cs="Arial"/>
                <w:color w:val="000000"/>
                <w:sz w:val="20"/>
                <w:szCs w:val="20"/>
                <w:lang w:eastAsia="es-MX"/>
              </w:rPr>
              <w:t>Hemotransfuciones</w:t>
            </w:r>
            <w:proofErr w:type="spellEnd"/>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79</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Mejora de condiciones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1,112</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proofErr w:type="spellStart"/>
            <w:r w:rsidRPr="00465849">
              <w:rPr>
                <w:rFonts w:ascii="Arial" w:hAnsi="Arial" w:cs="Arial"/>
                <w:color w:val="000000"/>
                <w:sz w:val="20"/>
                <w:szCs w:val="20"/>
                <w:lang w:eastAsia="es-MX"/>
              </w:rPr>
              <w:t>Braquiterapia</w:t>
            </w:r>
            <w:proofErr w:type="spellEnd"/>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174</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Procedimientos de clínica de displasia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4,599</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Mamografía y ultrasonido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8,121</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Endoscopias de tubo digestivo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361</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Endoscopias de vía aérea superior</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370</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Procedimientos de radioterapia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1,816</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Quimioterapias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13,473</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 Ambulatoria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13,103</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Hospitalaria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352</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proofErr w:type="spellStart"/>
            <w:r w:rsidRPr="00465849">
              <w:rPr>
                <w:rFonts w:ascii="Arial" w:hAnsi="Arial" w:cs="Arial"/>
                <w:color w:val="000000"/>
                <w:sz w:val="20"/>
                <w:szCs w:val="20"/>
                <w:lang w:eastAsia="es-MX"/>
              </w:rPr>
              <w:t>Hipec</w:t>
            </w:r>
            <w:proofErr w:type="spellEnd"/>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16</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proofErr w:type="spellStart"/>
            <w:r w:rsidRPr="00465849">
              <w:rPr>
                <w:rFonts w:ascii="Arial" w:hAnsi="Arial" w:cs="Arial"/>
                <w:color w:val="000000"/>
                <w:sz w:val="20"/>
                <w:szCs w:val="20"/>
                <w:lang w:eastAsia="es-MX"/>
              </w:rPr>
              <w:t>Pleurodesis</w:t>
            </w:r>
            <w:proofErr w:type="spellEnd"/>
            <w:r w:rsidRPr="00465849">
              <w:rPr>
                <w:rFonts w:ascii="Arial" w:hAnsi="Arial" w:cs="Arial"/>
                <w:color w:val="000000"/>
                <w:sz w:val="20"/>
                <w:szCs w:val="20"/>
                <w:lang w:eastAsia="es-MX"/>
              </w:rPr>
              <w:t xml:space="preserve"> con quimioterapia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2</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rPr>
                <w:rFonts w:ascii="Arial" w:hAnsi="Arial" w:cs="Arial"/>
                <w:color w:val="000000"/>
                <w:sz w:val="20"/>
                <w:szCs w:val="20"/>
                <w:lang w:eastAsia="es-MX"/>
              </w:rPr>
            </w:pPr>
            <w:r w:rsidRPr="00465849">
              <w:rPr>
                <w:rFonts w:ascii="Arial" w:hAnsi="Arial" w:cs="Arial"/>
                <w:color w:val="000000"/>
                <w:sz w:val="20"/>
                <w:szCs w:val="20"/>
                <w:lang w:eastAsia="es-MX"/>
              </w:rPr>
              <w:t xml:space="preserve">Procedimientos en clínica                               </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color w:val="000000"/>
                <w:sz w:val="20"/>
                <w:szCs w:val="20"/>
                <w:lang w:eastAsia="es-MX"/>
              </w:rPr>
            </w:pPr>
            <w:r w:rsidRPr="00465849">
              <w:rPr>
                <w:rFonts w:ascii="Arial" w:hAnsi="Arial" w:cs="Arial"/>
                <w:color w:val="000000"/>
                <w:sz w:val="20"/>
                <w:szCs w:val="20"/>
                <w:lang w:eastAsia="es-MX"/>
              </w:rPr>
              <w:t>16,551</w:t>
            </w:r>
          </w:p>
        </w:tc>
      </w:tr>
      <w:tr w:rsidR="007A4A4F" w:rsidRPr="00465849" w:rsidTr="003B35B9">
        <w:trPr>
          <w:trHeight w:val="240"/>
          <w:jc w:val="center"/>
        </w:trPr>
        <w:tc>
          <w:tcPr>
            <w:tcW w:w="4507" w:type="dxa"/>
            <w:tcBorders>
              <w:top w:val="nil"/>
              <w:left w:val="single" w:sz="8" w:space="0" w:color="auto"/>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right"/>
              <w:rPr>
                <w:rFonts w:ascii="Arial" w:hAnsi="Arial" w:cs="Arial"/>
                <w:b/>
                <w:bCs/>
                <w:color w:val="000000"/>
                <w:sz w:val="20"/>
                <w:szCs w:val="20"/>
                <w:lang w:eastAsia="es-MX"/>
              </w:rPr>
            </w:pPr>
            <w:r w:rsidRPr="00465849">
              <w:rPr>
                <w:rFonts w:ascii="Arial" w:hAnsi="Arial" w:cs="Arial"/>
                <w:b/>
                <w:bCs/>
                <w:color w:val="000000"/>
                <w:sz w:val="20"/>
                <w:szCs w:val="20"/>
                <w:lang w:eastAsia="es-MX"/>
              </w:rPr>
              <w:t>Total de Servicios Otorgados</w:t>
            </w:r>
          </w:p>
        </w:tc>
        <w:tc>
          <w:tcPr>
            <w:tcW w:w="4302" w:type="dxa"/>
            <w:tcBorders>
              <w:top w:val="nil"/>
              <w:left w:val="nil"/>
              <w:bottom w:val="single" w:sz="8" w:space="0" w:color="auto"/>
              <w:right w:val="single" w:sz="8" w:space="0" w:color="auto"/>
            </w:tcBorders>
            <w:shd w:val="clear" w:color="auto" w:fill="auto"/>
            <w:noWrap/>
            <w:vAlign w:val="bottom"/>
            <w:hideMark/>
          </w:tcPr>
          <w:p w:rsidR="007A4A4F" w:rsidRPr="00465849" w:rsidRDefault="007A4A4F" w:rsidP="004A041A">
            <w:pPr>
              <w:spacing w:after="0" w:line="240" w:lineRule="auto"/>
              <w:jc w:val="center"/>
              <w:rPr>
                <w:rFonts w:ascii="Arial" w:hAnsi="Arial" w:cs="Arial"/>
                <w:b/>
                <w:bCs/>
                <w:color w:val="000000"/>
                <w:sz w:val="20"/>
                <w:szCs w:val="20"/>
                <w:lang w:eastAsia="es-MX"/>
              </w:rPr>
            </w:pPr>
            <w:r w:rsidRPr="00465849">
              <w:rPr>
                <w:rFonts w:ascii="Arial" w:hAnsi="Arial" w:cs="Arial"/>
                <w:b/>
                <w:bCs/>
                <w:color w:val="000000"/>
                <w:sz w:val="20"/>
                <w:szCs w:val="20"/>
                <w:lang w:eastAsia="es-MX"/>
              </w:rPr>
              <w:t>241,704</w:t>
            </w:r>
          </w:p>
        </w:tc>
      </w:tr>
      <w:tr w:rsidR="007A4A4F" w:rsidRPr="00465849" w:rsidTr="003B35B9">
        <w:trPr>
          <w:trHeight w:val="345"/>
          <w:jc w:val="center"/>
        </w:trPr>
        <w:tc>
          <w:tcPr>
            <w:tcW w:w="8809" w:type="dxa"/>
            <w:gridSpan w:val="2"/>
            <w:tcBorders>
              <w:top w:val="single" w:sz="8" w:space="0" w:color="auto"/>
              <w:left w:val="nil"/>
              <w:bottom w:val="nil"/>
              <w:right w:val="nil"/>
            </w:tcBorders>
            <w:shd w:val="clear" w:color="auto" w:fill="auto"/>
            <w:noWrap/>
            <w:vAlign w:val="bottom"/>
            <w:hideMark/>
          </w:tcPr>
          <w:p w:rsidR="007A4A4F" w:rsidRPr="00465849" w:rsidRDefault="007A4A4F" w:rsidP="004A041A">
            <w:pPr>
              <w:rPr>
                <w:rFonts w:ascii="Arial" w:hAnsi="Arial" w:cs="Arial"/>
                <w:b/>
                <w:bCs/>
                <w:color w:val="000000"/>
                <w:sz w:val="20"/>
                <w:szCs w:val="20"/>
                <w:lang w:eastAsia="es-MX"/>
              </w:rPr>
            </w:pPr>
            <w:r w:rsidRPr="00465849">
              <w:rPr>
                <w:rFonts w:ascii="Arial" w:hAnsi="Arial" w:cs="Arial"/>
                <w:b/>
                <w:bCs/>
                <w:color w:val="000000"/>
                <w:sz w:val="20"/>
                <w:szCs w:val="20"/>
                <w:lang w:eastAsia="es-MX"/>
              </w:rPr>
              <w:t xml:space="preserve">Fuente de Datos: Registros Médicos del Instituto Jalisciense de Cancerología </w:t>
            </w:r>
          </w:p>
        </w:tc>
      </w:tr>
      <w:tr w:rsidR="004A041A" w:rsidRPr="00465849" w:rsidTr="00AB3B12">
        <w:trPr>
          <w:trHeight w:val="300"/>
          <w:jc w:val="center"/>
        </w:trPr>
        <w:tc>
          <w:tcPr>
            <w:tcW w:w="8809" w:type="dxa"/>
            <w:gridSpan w:val="2"/>
            <w:tcBorders>
              <w:top w:val="nil"/>
              <w:left w:val="nil"/>
              <w:bottom w:val="nil"/>
              <w:right w:val="nil"/>
            </w:tcBorders>
            <w:shd w:val="clear" w:color="auto" w:fill="auto"/>
            <w:noWrap/>
            <w:vAlign w:val="bottom"/>
            <w:hideMark/>
          </w:tcPr>
          <w:p w:rsidR="004A041A" w:rsidRPr="00465849" w:rsidRDefault="004A041A" w:rsidP="004A041A">
            <w:pPr>
              <w:ind w:left="-55"/>
              <w:rPr>
                <w:rFonts w:ascii="Arial" w:hAnsi="Arial" w:cs="Arial"/>
                <w:color w:val="000000"/>
                <w:sz w:val="20"/>
                <w:szCs w:val="20"/>
                <w:lang w:eastAsia="es-MX"/>
              </w:rPr>
            </w:pPr>
            <w:r w:rsidRPr="00465849">
              <w:rPr>
                <w:rFonts w:ascii="Arial" w:hAnsi="Arial" w:cs="Arial"/>
                <w:b/>
                <w:bCs/>
                <w:color w:val="000000"/>
                <w:sz w:val="20"/>
                <w:szCs w:val="20"/>
                <w:lang w:eastAsia="es-MX"/>
              </w:rPr>
              <w:t>NOTA: Servicios de Atención Promedio al día</w:t>
            </w:r>
            <w:r>
              <w:rPr>
                <w:rFonts w:ascii="Arial" w:hAnsi="Arial" w:cs="Arial"/>
                <w:b/>
                <w:bCs/>
                <w:color w:val="000000"/>
                <w:sz w:val="20"/>
                <w:szCs w:val="20"/>
                <w:lang w:eastAsia="es-MX"/>
              </w:rPr>
              <w:t xml:space="preserve"> </w:t>
            </w:r>
            <w:r w:rsidRPr="00465849">
              <w:rPr>
                <w:rFonts w:ascii="Arial" w:hAnsi="Arial" w:cs="Arial"/>
                <w:b/>
                <w:bCs/>
                <w:color w:val="000000"/>
                <w:sz w:val="20"/>
                <w:szCs w:val="20"/>
                <w:lang w:eastAsia="es-MX"/>
              </w:rPr>
              <w:t>662</w:t>
            </w:r>
          </w:p>
        </w:tc>
      </w:tr>
    </w:tbl>
    <w:p w:rsidR="007A4A4F" w:rsidRPr="00465849" w:rsidRDefault="007A4A4F" w:rsidP="007A4A4F">
      <w:pPr>
        <w:jc w:val="both"/>
        <w:rPr>
          <w:rFonts w:ascii="Arial" w:hAnsi="Arial" w:cs="Arial"/>
          <w:sz w:val="20"/>
          <w:szCs w:val="20"/>
        </w:rPr>
      </w:pPr>
      <w:r w:rsidRPr="00465849">
        <w:rPr>
          <w:rFonts w:ascii="Arial" w:hAnsi="Arial" w:cs="Arial"/>
          <w:sz w:val="20"/>
          <w:szCs w:val="20"/>
        </w:rPr>
        <w:lastRenderedPageBreak/>
        <w:t xml:space="preserve">El monto de servicios otorgados por el Instituto significa </w:t>
      </w:r>
      <w:r w:rsidRPr="00465849">
        <w:rPr>
          <w:rFonts w:ascii="Arial" w:hAnsi="Arial" w:cs="Arial"/>
          <w:b/>
          <w:sz w:val="20"/>
          <w:szCs w:val="20"/>
        </w:rPr>
        <w:t>662 servicios médicos a pacientes promedio al día;</w:t>
      </w:r>
      <w:r w:rsidRPr="00465849">
        <w:rPr>
          <w:rFonts w:ascii="Arial" w:hAnsi="Arial" w:cs="Arial"/>
          <w:sz w:val="20"/>
          <w:szCs w:val="20"/>
        </w:rPr>
        <w:t xml:space="preserve"> de este total, los servicios de mayor gasto son Cáncer de Mama, Cáncer de Próstata entre otros que son los de mayor riesgo, de mayor prioridad y mayor costo, factores que </w:t>
      </w:r>
      <w:r>
        <w:rPr>
          <w:rFonts w:ascii="Arial" w:hAnsi="Arial" w:cs="Arial"/>
          <w:sz w:val="20"/>
          <w:szCs w:val="20"/>
        </w:rPr>
        <w:t xml:space="preserve">obligo a las compras urgentes. </w:t>
      </w:r>
    </w:p>
    <w:p w:rsidR="007A4A4F" w:rsidRPr="000C164F" w:rsidRDefault="007A4A4F" w:rsidP="007A4A4F">
      <w:pPr>
        <w:jc w:val="both"/>
        <w:rPr>
          <w:rFonts w:ascii="Arial" w:hAnsi="Arial" w:cs="Arial"/>
          <w:b/>
          <w:sz w:val="20"/>
          <w:szCs w:val="20"/>
        </w:rPr>
      </w:pPr>
      <w:r w:rsidRPr="000C164F">
        <w:rPr>
          <w:rFonts w:ascii="Arial" w:hAnsi="Arial" w:cs="Arial"/>
          <w:b/>
          <w:sz w:val="20"/>
          <w:szCs w:val="20"/>
        </w:rPr>
        <w:t>Por otra parte al contar con nueve proveedores se diversifico las adquisiciones realizadas de conformidad con los medicamentos que dichos proveedores ofertan, sin inducir a un proveedor en específico la compra.</w:t>
      </w:r>
    </w:p>
    <w:p w:rsidR="007A4A4F" w:rsidRPr="000C164F" w:rsidRDefault="007A4A4F" w:rsidP="007A4A4F">
      <w:pPr>
        <w:jc w:val="both"/>
        <w:rPr>
          <w:rFonts w:ascii="Arial" w:hAnsi="Arial" w:cs="Arial"/>
          <w:b/>
          <w:sz w:val="20"/>
          <w:szCs w:val="20"/>
        </w:rPr>
      </w:pPr>
      <w:r w:rsidRPr="000C164F">
        <w:rPr>
          <w:rFonts w:ascii="Arial" w:hAnsi="Arial" w:cs="Arial"/>
          <w:b/>
          <w:sz w:val="20"/>
          <w:szCs w:val="20"/>
        </w:rPr>
        <w:t xml:space="preserve">El tratamiento médico es a base de quimioterapia, hormonoterapia, terapias blanco y otros fármacos de los  cuales la oferta se modifica día a día por la inclusión de nuevas terapias por la industria farmacéutica, desgraciadamente son de un acceso casi imposible para el tipo de usuario de nuestra Institución ya que son en general de costo elevado además de que son dosis repetitivas, son en la mayoría de los casos de patente privilegiando calidad en beneficio de los enfermos. </w:t>
      </w:r>
    </w:p>
    <w:p w:rsidR="007A4A4F" w:rsidRPr="00465849" w:rsidRDefault="007A4A4F" w:rsidP="007A4A4F">
      <w:pPr>
        <w:jc w:val="both"/>
        <w:rPr>
          <w:rFonts w:ascii="Arial" w:hAnsi="Arial" w:cs="Arial"/>
          <w:sz w:val="20"/>
          <w:szCs w:val="20"/>
        </w:rPr>
      </w:pPr>
      <w:r w:rsidRPr="00465849">
        <w:rPr>
          <w:rFonts w:ascii="Arial" w:hAnsi="Arial" w:cs="Arial"/>
          <w:sz w:val="20"/>
          <w:szCs w:val="20"/>
        </w:rPr>
        <w:t xml:space="preserve">Ante lo estrecho de oferta y ante una demanda de la magnitud que el Instituto contempla y por el alto riesgo en que se encuentra el paciente, que dicho sea de paso el cáncer es de las primeras causas de muerte en nuestro país y afecta a adultos jóvenes en etapa productiva de la vida perdiéndose años de vida productiva, y de familiares cuidadores que se suman a la perdida indirecta, el Instituto de Cancerología se vio obligado a recurrir a este tipo de adquisiciones. </w:t>
      </w:r>
    </w:p>
    <w:p w:rsidR="007A4A4F" w:rsidRPr="00465849" w:rsidRDefault="007A4A4F" w:rsidP="007A4A4F">
      <w:pPr>
        <w:jc w:val="both"/>
        <w:rPr>
          <w:rFonts w:ascii="Arial" w:hAnsi="Arial" w:cs="Arial"/>
          <w:sz w:val="20"/>
          <w:szCs w:val="20"/>
        </w:rPr>
      </w:pPr>
      <w:r w:rsidRPr="00465849">
        <w:rPr>
          <w:rFonts w:ascii="Arial" w:hAnsi="Arial" w:cs="Arial"/>
          <w:sz w:val="20"/>
          <w:szCs w:val="20"/>
        </w:rPr>
        <w:t>Cabe hacer mención que el tratamiento del cáncer es multidisciplinario y los tres tratamientos utilizados son la cirugía, el uso de fármacos y radioterapia.  En la gran mayoría de los casos la combinación de las tres modalidades así como el apoyo de psicología, nutrición, cuidados paliativos, genética así como de otras especialidades médicas.</w:t>
      </w:r>
    </w:p>
    <w:p w:rsidR="007A4A4F" w:rsidRPr="00465849" w:rsidRDefault="007A4A4F" w:rsidP="007A4A4F">
      <w:pPr>
        <w:jc w:val="both"/>
        <w:rPr>
          <w:rFonts w:ascii="Arial" w:hAnsi="Arial" w:cs="Arial"/>
          <w:sz w:val="20"/>
          <w:szCs w:val="20"/>
        </w:rPr>
      </w:pPr>
      <w:r w:rsidRPr="00465849">
        <w:rPr>
          <w:rFonts w:ascii="Arial" w:hAnsi="Arial" w:cs="Arial"/>
          <w:sz w:val="20"/>
          <w:szCs w:val="20"/>
        </w:rPr>
        <w:t>Gran parte de nuestros pacientes se ve favorecido por estar dentro del programa de gastos catastróficos más sin embargo estos protocolos son modificados constantemente incluyendo nuevos fármacos y de costos más elevados ya que se tratan de medicamen</w:t>
      </w:r>
      <w:r>
        <w:rPr>
          <w:rFonts w:ascii="Arial" w:hAnsi="Arial" w:cs="Arial"/>
          <w:sz w:val="20"/>
          <w:szCs w:val="20"/>
        </w:rPr>
        <w:t>tos nuevos, en cualquier fecha.</w:t>
      </w:r>
    </w:p>
    <w:p w:rsidR="007A4A4F" w:rsidRPr="00703B9B" w:rsidRDefault="007A4A4F" w:rsidP="007A4A4F">
      <w:pPr>
        <w:jc w:val="both"/>
        <w:rPr>
          <w:rFonts w:ascii="Frutiger-Light" w:hAnsi="Frutiger-Light"/>
          <w:b/>
          <w:sz w:val="20"/>
          <w:szCs w:val="20"/>
        </w:rPr>
      </w:pPr>
      <w:r w:rsidRPr="00465849">
        <w:rPr>
          <w:rFonts w:ascii="Arial" w:hAnsi="Arial" w:cs="Arial"/>
          <w:sz w:val="20"/>
          <w:szCs w:val="20"/>
        </w:rPr>
        <w:t xml:space="preserve">Por lo antes comentado se puede decir que </w:t>
      </w:r>
      <w:r w:rsidRPr="00465849">
        <w:rPr>
          <w:rFonts w:ascii="Arial" w:hAnsi="Arial" w:cs="Arial"/>
          <w:b/>
          <w:sz w:val="20"/>
          <w:szCs w:val="20"/>
        </w:rPr>
        <w:t xml:space="preserve">No Existe el posible riesgo de daño patrimonial, sin embargo permanece un alto riego de daño mortal para el paciente y no se puede caer en la figura de negligencia médica por falta del fármaco originado por un proceso administrativo de compra de medicinas especializadas que por circunstancias de urgencia no se llevó a cabo, </w:t>
      </w:r>
      <w:r w:rsidRPr="00465849">
        <w:rPr>
          <w:rFonts w:ascii="Arial" w:hAnsi="Arial" w:cs="Arial"/>
          <w:sz w:val="20"/>
          <w:szCs w:val="20"/>
        </w:rPr>
        <w:t xml:space="preserve">ahora bien es consabido que la Institución debe sujetarse a la normatividad que la rige a fin de no incumplir ni violentar las disposiciones existentes, por ello le que comunico a esa Contraloría que ya se iniciaron las disposiciones preventivas para </w:t>
      </w:r>
      <w:r w:rsidRPr="00465849">
        <w:rPr>
          <w:rFonts w:ascii="Arial" w:hAnsi="Arial" w:cs="Arial"/>
          <w:bCs/>
          <w:sz w:val="20"/>
          <w:szCs w:val="20"/>
        </w:rPr>
        <w:t xml:space="preserve">la adopción y vigilancia de las medidas de control que impidan la reincidencia de anomalías como la observada y tomado como base la Ley de Compras Gubernamentales, Enajenaciones y Contratación de Servicios del Estado de Jalisco y sus Municipios publicada con el decreto NÚMERO 25888/LXI/16. Por lo expresado </w:t>
      </w:r>
      <w:r w:rsidRPr="00465849">
        <w:rPr>
          <w:rFonts w:ascii="Arial" w:hAnsi="Arial" w:cs="Arial"/>
          <w:b/>
          <w:bCs/>
          <w:sz w:val="20"/>
          <w:szCs w:val="20"/>
        </w:rPr>
        <w:t>solicito la solvatación de la observación.</w:t>
      </w:r>
    </w:p>
    <w:sectPr w:rsidR="007A4A4F" w:rsidRPr="00703B9B" w:rsidSect="001C0032">
      <w:pgSz w:w="12242" w:h="20163" w:code="5"/>
      <w:pgMar w:top="1418" w:right="146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9BA"/>
    <w:rsid w:val="00047693"/>
    <w:rsid w:val="00051F4B"/>
    <w:rsid w:val="0008029C"/>
    <w:rsid w:val="000C164F"/>
    <w:rsid w:val="00112C8E"/>
    <w:rsid w:val="001C0032"/>
    <w:rsid w:val="0026313A"/>
    <w:rsid w:val="002C5E16"/>
    <w:rsid w:val="002D6395"/>
    <w:rsid w:val="00322439"/>
    <w:rsid w:val="003F031A"/>
    <w:rsid w:val="004864BF"/>
    <w:rsid w:val="004911C4"/>
    <w:rsid w:val="004A041A"/>
    <w:rsid w:val="004A408F"/>
    <w:rsid w:val="004B4BA5"/>
    <w:rsid w:val="005B3004"/>
    <w:rsid w:val="00607F9C"/>
    <w:rsid w:val="00640CDE"/>
    <w:rsid w:val="00703B9B"/>
    <w:rsid w:val="007A4A4F"/>
    <w:rsid w:val="0082421D"/>
    <w:rsid w:val="00871185"/>
    <w:rsid w:val="009119BA"/>
    <w:rsid w:val="009860CE"/>
    <w:rsid w:val="009A163D"/>
    <w:rsid w:val="009B6587"/>
    <w:rsid w:val="00A32AE6"/>
    <w:rsid w:val="00A70B08"/>
    <w:rsid w:val="00A861BD"/>
    <w:rsid w:val="00BD2C9D"/>
    <w:rsid w:val="00D66841"/>
    <w:rsid w:val="00DC5D8F"/>
    <w:rsid w:val="00E0647B"/>
    <w:rsid w:val="00E42F89"/>
    <w:rsid w:val="00F50580"/>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Julio</cp:lastModifiedBy>
  <cp:revision>21</cp:revision>
  <dcterms:created xsi:type="dcterms:W3CDTF">2014-05-22T01:10:00Z</dcterms:created>
  <dcterms:modified xsi:type="dcterms:W3CDTF">2018-06-08T18:42:00Z</dcterms:modified>
</cp:coreProperties>
</file>