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41" w:rsidRDefault="00FC23DE" w:rsidP="00322439">
      <w:pPr>
        <w:pStyle w:val="Textoindependiente"/>
        <w:jc w:val="center"/>
        <w:rPr>
          <w:rFonts w:ascii="Frutiger-Light" w:hAnsi="Frutiger-Light"/>
          <w:b/>
          <w:bCs/>
          <w:sz w:val="28"/>
          <w:szCs w:val="28"/>
        </w:rPr>
      </w:pPr>
      <w:r>
        <w:rPr>
          <w:rFonts w:ascii="Frutiger-Light" w:hAnsi="Frutiger-Light"/>
          <w:b/>
          <w:bCs/>
          <w:sz w:val="28"/>
          <w:szCs w:val="28"/>
        </w:rPr>
        <w:t>ANEXO “D</w:t>
      </w:r>
      <w:r w:rsidR="00607F9C">
        <w:rPr>
          <w:rFonts w:ascii="Frutiger-Light" w:hAnsi="Frutiger-Light"/>
          <w:b/>
          <w:bCs/>
          <w:sz w:val="28"/>
          <w:szCs w:val="28"/>
        </w:rPr>
        <w:t>”</w:t>
      </w:r>
    </w:p>
    <w:p w:rsidR="00047693" w:rsidRDefault="00047693" w:rsidP="00322439">
      <w:pPr>
        <w:pStyle w:val="Textoindependiente"/>
        <w:jc w:val="center"/>
        <w:rPr>
          <w:rFonts w:ascii="Frutiger-Light" w:hAnsi="Frutiger-Light"/>
          <w:b/>
          <w:bCs/>
          <w:sz w:val="21"/>
          <w:szCs w:val="21"/>
        </w:rPr>
      </w:pPr>
    </w:p>
    <w:p w:rsidR="007901D1" w:rsidRDefault="007901D1" w:rsidP="00607F9C">
      <w:pPr>
        <w:pStyle w:val="Textoindependiente"/>
        <w:jc w:val="center"/>
        <w:rPr>
          <w:rFonts w:cs="Arial"/>
          <w:b/>
          <w:bCs/>
          <w:sz w:val="20"/>
        </w:rPr>
      </w:pPr>
      <w:r w:rsidRPr="000309AD">
        <w:rPr>
          <w:rFonts w:cs="Arial"/>
          <w:b/>
          <w:bCs/>
          <w:sz w:val="20"/>
        </w:rPr>
        <w:t>I</w:t>
      </w:r>
      <w:r>
        <w:rPr>
          <w:rFonts w:cs="Arial"/>
          <w:b/>
          <w:bCs/>
          <w:sz w:val="20"/>
        </w:rPr>
        <w:t>NSTITUTO DE INFORMACION ESTADISTICA Y GEOGRAFICA DEL ESTADO DE JALISCO.</w:t>
      </w:r>
    </w:p>
    <w:p w:rsidR="0025733F" w:rsidRDefault="00322439" w:rsidP="00322439">
      <w:pPr>
        <w:pStyle w:val="Textoindependiente"/>
        <w:jc w:val="center"/>
        <w:rPr>
          <w:rFonts w:cs="Arial"/>
          <w:b/>
          <w:sz w:val="20"/>
        </w:rPr>
      </w:pPr>
      <w:r w:rsidRPr="00607F9C">
        <w:rPr>
          <w:rFonts w:ascii="Frutiger-Light" w:hAnsi="Frutiger-Light"/>
          <w:b/>
          <w:bCs/>
          <w:sz w:val="20"/>
        </w:rPr>
        <w:t xml:space="preserve">Auditoria </w:t>
      </w:r>
      <w:r w:rsidR="00F1562A">
        <w:rPr>
          <w:rFonts w:cs="Arial"/>
          <w:b/>
          <w:sz w:val="20"/>
        </w:rPr>
        <w:t>d</w:t>
      </w:r>
      <w:r w:rsidR="00607F9C" w:rsidRPr="00607F9C">
        <w:rPr>
          <w:rFonts w:cs="Arial"/>
          <w:b/>
          <w:sz w:val="20"/>
        </w:rPr>
        <w:t xml:space="preserve">el 01 de enero al 31 de diciembre de 2016 y </w:t>
      </w:r>
      <w:r w:rsidR="0025733F">
        <w:rPr>
          <w:rFonts w:cs="Arial"/>
          <w:b/>
          <w:sz w:val="20"/>
        </w:rPr>
        <w:t xml:space="preserve">Eventos </w:t>
      </w:r>
      <w:r w:rsidR="00F1562A">
        <w:rPr>
          <w:rFonts w:cs="Arial"/>
          <w:b/>
          <w:sz w:val="20"/>
        </w:rPr>
        <w:t>P</w:t>
      </w:r>
      <w:r w:rsidR="0025733F">
        <w:rPr>
          <w:rFonts w:cs="Arial"/>
          <w:b/>
          <w:sz w:val="20"/>
        </w:rPr>
        <w:t>osteriores.</w:t>
      </w:r>
    </w:p>
    <w:p w:rsidR="00F1562A" w:rsidRDefault="00F1562A" w:rsidP="00322439">
      <w:pPr>
        <w:pStyle w:val="Textoindependiente"/>
        <w:jc w:val="center"/>
        <w:rPr>
          <w:rFonts w:cs="Arial"/>
          <w:b/>
          <w:sz w:val="20"/>
        </w:rPr>
      </w:pPr>
    </w:p>
    <w:p w:rsidR="00D66841" w:rsidRPr="00D66841" w:rsidRDefault="00112C8E" w:rsidP="00F1562A">
      <w:pPr>
        <w:pStyle w:val="Textoindependiente"/>
        <w:jc w:val="right"/>
        <w:rPr>
          <w:rFonts w:ascii="Frutiger-Light" w:hAnsi="Frutiger-Light"/>
          <w:b/>
          <w:sz w:val="21"/>
          <w:szCs w:val="21"/>
        </w:rPr>
      </w:pPr>
      <w:r w:rsidRPr="00D66841">
        <w:rPr>
          <w:rFonts w:ascii="Frutiger-Light" w:hAnsi="Frutiger-Light"/>
          <w:b/>
          <w:sz w:val="21"/>
          <w:szCs w:val="21"/>
        </w:rPr>
        <w:t>Observación</w:t>
      </w:r>
      <w:r w:rsidR="00D66841" w:rsidRPr="00D66841">
        <w:rPr>
          <w:rFonts w:ascii="Frutiger-Light" w:hAnsi="Frutiger-Light"/>
          <w:b/>
          <w:sz w:val="21"/>
          <w:szCs w:val="21"/>
        </w:rPr>
        <w:t xml:space="preserve"> No. </w:t>
      </w:r>
      <w:r w:rsidR="00FC23DE">
        <w:rPr>
          <w:rFonts w:ascii="Frutiger-Light" w:hAnsi="Frutiger-Light"/>
          <w:b/>
          <w:sz w:val="21"/>
          <w:szCs w:val="21"/>
        </w:rPr>
        <w:t>2.1</w:t>
      </w:r>
      <w:r>
        <w:rPr>
          <w:rFonts w:ascii="Frutiger-Light" w:hAnsi="Frutiger-Light"/>
          <w:b/>
          <w:sz w:val="21"/>
          <w:szCs w:val="21"/>
        </w:rPr>
        <w:t xml:space="preserve">.- </w:t>
      </w:r>
      <w:r w:rsidR="009860CE">
        <w:rPr>
          <w:rFonts w:ascii="Frutiger-Light" w:hAnsi="Frutiger-Light"/>
          <w:b/>
          <w:sz w:val="21"/>
          <w:szCs w:val="21"/>
        </w:rPr>
        <w:t xml:space="preserve">  P</w:t>
      </w:r>
      <w:r w:rsidR="00FC23DE">
        <w:rPr>
          <w:rFonts w:ascii="Frutiger-Light" w:hAnsi="Frutiger-Light"/>
          <w:b/>
          <w:sz w:val="21"/>
          <w:szCs w:val="21"/>
        </w:rPr>
        <w:t>ágina 3</w:t>
      </w:r>
      <w:r w:rsidR="005662F3">
        <w:rPr>
          <w:rFonts w:ascii="Frutiger-Light" w:hAnsi="Frutiger-Light"/>
          <w:b/>
          <w:sz w:val="21"/>
          <w:szCs w:val="21"/>
        </w:rPr>
        <w:t xml:space="preserve"> </w:t>
      </w:r>
      <w:r w:rsidR="0025733F">
        <w:rPr>
          <w:rFonts w:ascii="Frutiger-Light" w:hAnsi="Frutiger-Light"/>
          <w:b/>
          <w:sz w:val="21"/>
          <w:szCs w:val="21"/>
        </w:rPr>
        <w:t>de 13</w:t>
      </w:r>
      <w:r w:rsidR="00D66841" w:rsidRPr="00D66841">
        <w:rPr>
          <w:rFonts w:ascii="Frutiger-Light" w:hAnsi="Frutiger-Light"/>
          <w:b/>
          <w:sz w:val="21"/>
          <w:szCs w:val="21"/>
        </w:rPr>
        <w:t>.</w:t>
      </w:r>
    </w:p>
    <w:p w:rsidR="00047693" w:rsidRDefault="00047693" w:rsidP="00F1562A">
      <w:pPr>
        <w:spacing w:after="0"/>
        <w:jc w:val="both"/>
        <w:rPr>
          <w:rFonts w:ascii="Arial" w:hAnsi="Arial" w:cs="Arial"/>
          <w:b/>
        </w:rPr>
      </w:pPr>
    </w:p>
    <w:p w:rsidR="00607F9C" w:rsidRDefault="00FC23DE" w:rsidP="00F1562A">
      <w:pPr>
        <w:spacing w:after="0"/>
        <w:jc w:val="both"/>
        <w:rPr>
          <w:rFonts w:ascii="Arial" w:hAnsi="Arial" w:cs="Arial"/>
          <w:b/>
        </w:rPr>
      </w:pPr>
      <w:bookmarkStart w:id="0" w:name="_GoBack"/>
      <w:r w:rsidRPr="001F1AA0">
        <w:rPr>
          <w:rFonts w:ascii="Arial" w:hAnsi="Arial" w:cs="Arial"/>
          <w:b/>
        </w:rPr>
        <w:t>2.0.- Egresos</w:t>
      </w:r>
      <w:r w:rsidR="00607F9C" w:rsidRPr="001F1AA0">
        <w:rPr>
          <w:rFonts w:ascii="Arial" w:hAnsi="Arial" w:cs="Arial"/>
          <w:b/>
        </w:rPr>
        <w:t>.</w:t>
      </w:r>
    </w:p>
    <w:p w:rsidR="00F1562A" w:rsidRPr="001F1AA0" w:rsidRDefault="00F1562A" w:rsidP="00F1562A">
      <w:pPr>
        <w:spacing w:after="0"/>
        <w:jc w:val="both"/>
        <w:rPr>
          <w:rFonts w:ascii="Arial" w:hAnsi="Arial" w:cs="Arial"/>
          <w:b/>
        </w:rPr>
      </w:pPr>
    </w:p>
    <w:p w:rsidR="00607F9C" w:rsidRDefault="00FC23DE" w:rsidP="00F1562A">
      <w:pPr>
        <w:tabs>
          <w:tab w:val="left" w:pos="2411"/>
        </w:tabs>
        <w:spacing w:after="0"/>
        <w:jc w:val="both"/>
        <w:rPr>
          <w:rFonts w:ascii="Arial" w:hAnsi="Arial" w:cs="Arial"/>
          <w:b/>
          <w:u w:val="single"/>
        </w:rPr>
      </w:pPr>
      <w:r w:rsidRPr="001F1AA0">
        <w:rPr>
          <w:rFonts w:ascii="Arial" w:hAnsi="Arial" w:cs="Arial"/>
          <w:b/>
          <w:u w:val="single"/>
        </w:rPr>
        <w:t>Sin Adendum y/o Contrato Modificatorio:</w:t>
      </w:r>
    </w:p>
    <w:p w:rsidR="00F1562A" w:rsidRPr="001F1AA0" w:rsidRDefault="00F1562A" w:rsidP="00F1562A">
      <w:pPr>
        <w:tabs>
          <w:tab w:val="left" w:pos="2411"/>
        </w:tabs>
        <w:spacing w:after="0"/>
        <w:jc w:val="both"/>
        <w:rPr>
          <w:rFonts w:ascii="Arial" w:hAnsi="Arial" w:cs="Arial"/>
          <w:b/>
          <w:u w:val="single"/>
        </w:rPr>
      </w:pPr>
    </w:p>
    <w:p w:rsidR="00051F4B" w:rsidRDefault="00051F4B" w:rsidP="00F1562A">
      <w:pPr>
        <w:spacing w:after="0"/>
        <w:rPr>
          <w:rFonts w:ascii="Arial" w:hAnsi="Arial" w:cs="Arial"/>
          <w:b/>
          <w:i/>
          <w:u w:val="single"/>
        </w:rPr>
      </w:pPr>
      <w:r w:rsidRPr="001F1AA0">
        <w:rPr>
          <w:rFonts w:ascii="Arial" w:hAnsi="Arial" w:cs="Arial"/>
          <w:b/>
          <w:i/>
          <w:u w:val="single"/>
        </w:rPr>
        <w:t>Contestación:</w:t>
      </w:r>
    </w:p>
    <w:p w:rsidR="00F1562A" w:rsidRPr="001F1AA0" w:rsidRDefault="00F1562A" w:rsidP="00F1562A">
      <w:pPr>
        <w:spacing w:after="0"/>
        <w:rPr>
          <w:rFonts w:ascii="Arial" w:hAnsi="Arial" w:cs="Arial"/>
          <w:b/>
          <w:i/>
          <w:u w:val="single"/>
        </w:rPr>
      </w:pPr>
    </w:p>
    <w:bookmarkEnd w:id="0"/>
    <w:p w:rsidR="00FC23DE" w:rsidRPr="00FC23DE" w:rsidRDefault="00FC23DE" w:rsidP="00FC23DE">
      <w:pPr>
        <w:widowControl w:val="0"/>
        <w:spacing w:after="160"/>
        <w:jc w:val="both"/>
        <w:rPr>
          <w:rFonts w:ascii="Arial" w:eastAsia="Calibri" w:hAnsi="Arial" w:cs="Arial"/>
          <w:color w:val="000000"/>
          <w:sz w:val="20"/>
          <w:szCs w:val="20"/>
          <w:lang w:eastAsia="es-MX"/>
        </w:rPr>
      </w:pPr>
      <w:r>
        <w:rPr>
          <w:rFonts w:ascii="Frutiger-Light" w:hAnsi="Frutiger-Light"/>
          <w:b/>
          <w:sz w:val="20"/>
        </w:rPr>
        <w:t>2.1</w:t>
      </w:r>
      <w:r w:rsidR="00112C8E">
        <w:rPr>
          <w:rFonts w:ascii="Frutiger-Light" w:hAnsi="Frutiger-Light"/>
          <w:b/>
          <w:sz w:val="20"/>
        </w:rPr>
        <w:t>.</w:t>
      </w:r>
      <w:r w:rsidR="00F50580" w:rsidRPr="00F50580">
        <w:rPr>
          <w:rFonts w:ascii="Frutiger-Light" w:hAnsi="Frutiger-Light"/>
          <w:sz w:val="20"/>
        </w:rPr>
        <w:t xml:space="preserve">- </w:t>
      </w:r>
      <w:r w:rsidRPr="00FC23DE">
        <w:rPr>
          <w:rFonts w:ascii="Arial" w:eastAsia="Calibri" w:hAnsi="Arial" w:cs="Arial"/>
          <w:color w:val="000000"/>
          <w:sz w:val="20"/>
          <w:szCs w:val="20"/>
          <w:lang w:eastAsia="es-MX"/>
        </w:rPr>
        <w:t xml:space="preserve">Si bien es cierto que el </w:t>
      </w:r>
      <w:r w:rsidRPr="00FC23DE">
        <w:rPr>
          <w:rFonts w:ascii="Arial" w:eastAsia="Calibri" w:hAnsi="Arial" w:cs="Arial"/>
          <w:i/>
          <w:color w:val="000000"/>
          <w:sz w:val="20"/>
          <w:szCs w:val="20"/>
          <w:lang w:eastAsia="es-MX"/>
        </w:rPr>
        <w:t>Acuerdo de Cooperación Técnica para el Fortalecimiento de las Políticas Públicas basadas en Evidencia</w:t>
      </w:r>
      <w:r w:rsidRPr="00FC23DE">
        <w:rPr>
          <w:rFonts w:ascii="Arial" w:eastAsia="Calibri" w:hAnsi="Arial" w:cs="Arial"/>
          <w:color w:val="000000"/>
          <w:sz w:val="20"/>
          <w:szCs w:val="20"/>
          <w:lang w:eastAsia="es-MX"/>
        </w:rPr>
        <w:t xml:space="preserve"> señala como fecha de vencimiento el día 30 de Abril del </w:t>
      </w:r>
      <w:r w:rsidRPr="00FC23DE">
        <w:rPr>
          <w:rFonts w:ascii="Arial" w:eastAsia="Calibri" w:hAnsi="Arial" w:cs="Arial"/>
          <w:b/>
          <w:color w:val="000000"/>
          <w:sz w:val="20"/>
          <w:szCs w:val="20"/>
          <w:lang w:eastAsia="es-MX"/>
        </w:rPr>
        <w:t>2017</w:t>
      </w:r>
      <w:r w:rsidRPr="00FC23DE">
        <w:rPr>
          <w:rFonts w:ascii="Arial" w:eastAsia="Calibri" w:hAnsi="Arial" w:cs="Arial"/>
          <w:color w:val="000000"/>
          <w:sz w:val="20"/>
          <w:szCs w:val="20"/>
          <w:lang w:eastAsia="es-MX"/>
        </w:rPr>
        <w:t xml:space="preserve">, no menos cierto resulta que conforme al Artículo </w:t>
      </w:r>
      <w:r w:rsidRPr="00FC23DE">
        <w:rPr>
          <w:rFonts w:ascii="Arial" w:eastAsia="Calibri" w:hAnsi="Arial" w:cs="Arial"/>
          <w:b/>
          <w:i/>
          <w:color w:val="000000"/>
          <w:sz w:val="20"/>
          <w:szCs w:val="20"/>
          <w:lang w:eastAsia="es-MX"/>
        </w:rPr>
        <w:t>“6.Expiracion”</w:t>
      </w:r>
      <w:r w:rsidRPr="00FC23DE">
        <w:rPr>
          <w:rFonts w:ascii="Arial" w:eastAsia="Calibri" w:hAnsi="Arial" w:cs="Arial"/>
          <w:color w:val="000000"/>
          <w:sz w:val="20"/>
          <w:szCs w:val="20"/>
          <w:lang w:eastAsia="es-MX"/>
        </w:rPr>
        <w:t xml:space="preserve"> de dicho Acuerdo, está prevista en el instrumento la posibilidad de la renovación -tanto para derechos como para obligaciones- con el simple mutuo acuerdo de la partes, por lo que el Adendum señalado como observación, no resulta ser una condición Sine qua non, es tan así lo anterior que las partes involucradas, para asegurar la finalización adecuada de las actividades materia del acuerdo técnico, el día 17 de marzo del </w:t>
      </w:r>
      <w:r w:rsidRPr="00FC23DE">
        <w:rPr>
          <w:rFonts w:ascii="Arial" w:eastAsia="Calibri" w:hAnsi="Arial" w:cs="Arial"/>
          <w:b/>
          <w:color w:val="000000"/>
          <w:sz w:val="20"/>
          <w:szCs w:val="20"/>
          <w:lang w:eastAsia="es-MX"/>
        </w:rPr>
        <w:t>2017</w:t>
      </w:r>
      <w:r w:rsidRPr="00FC23DE">
        <w:rPr>
          <w:rFonts w:ascii="Arial" w:eastAsia="Calibri" w:hAnsi="Arial" w:cs="Arial"/>
          <w:color w:val="000000"/>
          <w:sz w:val="20"/>
          <w:szCs w:val="20"/>
          <w:lang w:eastAsia="es-MX"/>
        </w:rPr>
        <w:t xml:space="preserve">, acordaron extender la fecha de cierre del hasta el día 30 de junio del </w:t>
      </w:r>
      <w:r w:rsidRPr="00FC23DE">
        <w:rPr>
          <w:rFonts w:ascii="Arial" w:eastAsia="Calibri" w:hAnsi="Arial" w:cs="Arial"/>
          <w:b/>
          <w:color w:val="000000"/>
          <w:sz w:val="20"/>
          <w:szCs w:val="20"/>
          <w:lang w:eastAsia="es-MX"/>
        </w:rPr>
        <w:t>2017</w:t>
      </w:r>
      <w:r w:rsidRPr="00FC23DE">
        <w:rPr>
          <w:rFonts w:ascii="Arial" w:eastAsia="Calibri" w:hAnsi="Arial" w:cs="Arial"/>
          <w:color w:val="000000"/>
          <w:sz w:val="20"/>
          <w:szCs w:val="20"/>
          <w:lang w:eastAsia="es-MX"/>
        </w:rPr>
        <w:t xml:space="preserve">, tal y como consta en el documento denominado </w:t>
      </w:r>
      <w:r w:rsidRPr="00FC23DE">
        <w:rPr>
          <w:rFonts w:ascii="Arial" w:eastAsia="Calibri" w:hAnsi="Arial" w:cs="Arial"/>
          <w:b/>
          <w:color w:val="000000"/>
          <w:sz w:val="20"/>
          <w:szCs w:val="20"/>
          <w:lang w:eastAsia="es-MX"/>
        </w:rPr>
        <w:t>“Ayuda Memoriade la Misión de Cooperación Técnica realizada del 13 al 17 de marzo del 2017”</w:t>
      </w:r>
      <w:r w:rsidRPr="00FC23DE">
        <w:rPr>
          <w:rFonts w:ascii="Arial" w:eastAsia="Calibri" w:hAnsi="Arial" w:cs="Arial"/>
          <w:color w:val="000000"/>
          <w:sz w:val="20"/>
          <w:szCs w:val="20"/>
          <w:lang w:eastAsia="es-MX"/>
        </w:rPr>
        <w:t xml:space="preserve"> -el cual fue firmado de manera tripartita por los responsables directos del Acuerdo de Cooperación Técnica, a saber, Alejandro Medina Giopp por el Banco Mundial; Odilón Cortés Linares por </w:t>
      </w:r>
      <w:r w:rsidRPr="00FC23DE">
        <w:rPr>
          <w:rFonts w:ascii="Arial" w:eastAsia="Calibri" w:hAnsi="Arial" w:cs="Arial"/>
          <w:b/>
          <w:color w:val="000000"/>
          <w:sz w:val="20"/>
          <w:szCs w:val="20"/>
          <w:lang w:eastAsia="es-MX"/>
        </w:rPr>
        <w:t>INEGI</w:t>
      </w:r>
      <w:r w:rsidRPr="00FC23DE">
        <w:rPr>
          <w:rFonts w:ascii="Arial" w:eastAsia="Calibri" w:hAnsi="Arial" w:cs="Arial"/>
          <w:color w:val="000000"/>
          <w:sz w:val="20"/>
          <w:szCs w:val="20"/>
          <w:lang w:eastAsia="es-MX"/>
        </w:rPr>
        <w:t xml:space="preserve">; y, por Jalisco, la Subsecretaria de Planeación y Evaluación Carolina Toro Morales y el Director General del IIEG, David Rogelio Campos Cornejo-  donde en la página </w:t>
      </w:r>
      <w:r w:rsidRPr="00FC23DE">
        <w:rPr>
          <w:rFonts w:ascii="Arial" w:eastAsia="Calibri" w:hAnsi="Arial" w:cs="Arial"/>
          <w:b/>
          <w:color w:val="000000"/>
          <w:sz w:val="20"/>
          <w:szCs w:val="20"/>
          <w:lang w:eastAsia="es-MX"/>
        </w:rPr>
        <w:t xml:space="preserve">3, </w:t>
      </w:r>
      <w:r w:rsidRPr="00FC23DE">
        <w:rPr>
          <w:rFonts w:ascii="Arial" w:eastAsia="Calibri" w:hAnsi="Arial" w:cs="Arial"/>
          <w:color w:val="000000"/>
          <w:sz w:val="20"/>
          <w:szCs w:val="20"/>
          <w:lang w:eastAsia="es-MX"/>
        </w:rPr>
        <w:t>apartado “</w:t>
      </w:r>
      <w:r w:rsidRPr="00FC23DE">
        <w:rPr>
          <w:rFonts w:ascii="Arial" w:eastAsia="Calibri" w:hAnsi="Arial" w:cs="Arial"/>
          <w:b/>
          <w:color w:val="000000"/>
          <w:sz w:val="20"/>
          <w:szCs w:val="20"/>
          <w:lang w:eastAsia="es-MX"/>
        </w:rPr>
        <w:t>8. Próximos Pasos</w:t>
      </w:r>
      <w:r w:rsidRPr="00FC23DE">
        <w:rPr>
          <w:rFonts w:ascii="Arial" w:eastAsia="Calibri" w:hAnsi="Arial" w:cs="Arial"/>
          <w:color w:val="000000"/>
          <w:sz w:val="20"/>
          <w:szCs w:val="20"/>
          <w:lang w:eastAsia="es-MX"/>
        </w:rPr>
        <w:t xml:space="preserve">”, se acordó lo siguiente: </w:t>
      </w:r>
    </w:p>
    <w:p w:rsidR="00FC23DE" w:rsidRPr="00FC23DE" w:rsidRDefault="00FC23DE" w:rsidP="00FC23DE">
      <w:pPr>
        <w:widowControl w:val="0"/>
        <w:spacing w:after="160"/>
        <w:ind w:left="1134" w:right="1183"/>
        <w:jc w:val="both"/>
        <w:rPr>
          <w:rFonts w:ascii="Arial" w:eastAsia="Calibri" w:hAnsi="Arial" w:cs="Arial"/>
          <w:i/>
          <w:color w:val="000000"/>
          <w:sz w:val="20"/>
          <w:szCs w:val="20"/>
          <w:lang w:eastAsia="es-MX"/>
        </w:rPr>
      </w:pPr>
      <w:r w:rsidRPr="00FC23DE">
        <w:rPr>
          <w:rFonts w:ascii="Arial" w:eastAsia="Calibri" w:hAnsi="Arial" w:cs="Arial"/>
          <w:i/>
          <w:color w:val="000000"/>
          <w:sz w:val="20"/>
          <w:szCs w:val="20"/>
          <w:lang w:eastAsia="es-MX"/>
        </w:rPr>
        <w:t xml:space="preserve">“…Para asegurar la finalización adecuada de las actividades bajo este acuerdo técnico, se acordó extender la fecha de cierre del proyecto, y se definió junio 30, </w:t>
      </w:r>
      <w:r w:rsidRPr="00FC23DE">
        <w:rPr>
          <w:rFonts w:ascii="Arial" w:eastAsia="Calibri" w:hAnsi="Arial" w:cs="Arial"/>
          <w:b/>
          <w:i/>
          <w:color w:val="000000"/>
          <w:sz w:val="20"/>
          <w:szCs w:val="20"/>
          <w:lang w:eastAsia="es-MX"/>
        </w:rPr>
        <w:t>2017</w:t>
      </w:r>
      <w:r w:rsidRPr="00FC23DE">
        <w:rPr>
          <w:rFonts w:ascii="Arial" w:eastAsia="Calibri" w:hAnsi="Arial" w:cs="Arial"/>
          <w:i/>
          <w:color w:val="000000"/>
          <w:sz w:val="20"/>
          <w:szCs w:val="20"/>
          <w:lang w:eastAsia="es-MX"/>
        </w:rPr>
        <w:t xml:space="preserve"> como nueva fecha de cierre, aunque todos los productos deberán estar entregados al 31 de mayo. </w:t>
      </w:r>
      <w:r w:rsidRPr="00FC23DE">
        <w:rPr>
          <w:rFonts w:ascii="Arial" w:eastAsia="Calibri" w:hAnsi="Arial" w:cs="Arial"/>
          <w:b/>
          <w:i/>
          <w:color w:val="000000"/>
          <w:sz w:val="20"/>
          <w:szCs w:val="20"/>
          <w:lang w:eastAsia="es-MX"/>
        </w:rPr>
        <w:t>El IIEG y el INEGI</w:t>
      </w:r>
      <w:r w:rsidRPr="00FC23DE">
        <w:rPr>
          <w:rFonts w:ascii="Arial" w:eastAsia="Calibri" w:hAnsi="Arial" w:cs="Arial"/>
          <w:i/>
          <w:color w:val="000000"/>
          <w:sz w:val="20"/>
          <w:szCs w:val="20"/>
          <w:lang w:eastAsia="es-MX"/>
        </w:rPr>
        <w:t xml:space="preserve"> enviarán la solicitud de extensión de la fecha de cierre al Banco Mundial a más tardar el 24 de marzo de </w:t>
      </w:r>
      <w:r w:rsidRPr="00FC23DE">
        <w:rPr>
          <w:rFonts w:ascii="Arial" w:eastAsia="Calibri" w:hAnsi="Arial" w:cs="Arial"/>
          <w:b/>
          <w:i/>
          <w:color w:val="000000"/>
          <w:sz w:val="20"/>
          <w:szCs w:val="20"/>
          <w:lang w:eastAsia="es-MX"/>
        </w:rPr>
        <w:t>2017</w:t>
      </w:r>
      <w:r w:rsidRPr="00FC23DE">
        <w:rPr>
          <w:rFonts w:ascii="Arial" w:eastAsia="Calibri" w:hAnsi="Arial" w:cs="Arial"/>
          <w:i/>
          <w:color w:val="000000"/>
          <w:sz w:val="20"/>
          <w:szCs w:val="20"/>
          <w:lang w:eastAsia="es-MX"/>
        </w:rPr>
        <w:t xml:space="preserve">…”  </w:t>
      </w:r>
    </w:p>
    <w:p w:rsidR="00FC23DE" w:rsidRPr="00FC23DE" w:rsidRDefault="00FC23DE" w:rsidP="00FC23DE">
      <w:pPr>
        <w:widowControl w:val="0"/>
        <w:spacing w:after="160"/>
        <w:jc w:val="both"/>
        <w:rPr>
          <w:rFonts w:ascii="Arial" w:eastAsia="Calibri" w:hAnsi="Arial" w:cs="Arial"/>
          <w:color w:val="000000"/>
          <w:sz w:val="20"/>
          <w:szCs w:val="20"/>
          <w:lang w:eastAsia="es-MX"/>
        </w:rPr>
      </w:pPr>
      <w:r w:rsidRPr="00FC23DE">
        <w:rPr>
          <w:rFonts w:ascii="Arial" w:eastAsia="Calibri" w:hAnsi="Arial" w:cs="Arial"/>
          <w:color w:val="000000"/>
          <w:sz w:val="20"/>
          <w:szCs w:val="20"/>
          <w:lang w:eastAsia="es-MX"/>
        </w:rPr>
        <w:t xml:space="preserve">Este punto de acuerdo, plasmado en la </w:t>
      </w:r>
      <w:r w:rsidRPr="00FC23DE">
        <w:rPr>
          <w:rFonts w:ascii="Arial" w:eastAsia="Calibri" w:hAnsi="Arial" w:cs="Arial"/>
          <w:i/>
          <w:color w:val="000000"/>
          <w:sz w:val="20"/>
          <w:szCs w:val="20"/>
          <w:lang w:eastAsia="es-MX"/>
        </w:rPr>
        <w:t>Ayuda Memoria,</w:t>
      </w:r>
      <w:r w:rsidRPr="00FC23DE">
        <w:rPr>
          <w:rFonts w:ascii="Arial" w:eastAsia="Calibri" w:hAnsi="Arial" w:cs="Arial"/>
          <w:color w:val="000000"/>
          <w:sz w:val="20"/>
          <w:szCs w:val="20"/>
          <w:lang w:eastAsia="es-MX"/>
        </w:rPr>
        <w:t xml:space="preserve"> detonó el proceso de ampliación mediante el procedimiento epistolar al que se hace referencia en la observación, de tal manera que en ningún momento se estuvo en situación de indefensión. Las partes dieron cabal cumplimiento a las tareas y fechas acordadas.</w:t>
      </w:r>
    </w:p>
    <w:p w:rsidR="00FC23DE" w:rsidRPr="00FC23DE" w:rsidRDefault="00FC23DE" w:rsidP="00FC23DE">
      <w:pPr>
        <w:widowControl w:val="0"/>
        <w:spacing w:after="160"/>
        <w:jc w:val="both"/>
        <w:rPr>
          <w:rFonts w:ascii="Arial" w:eastAsia="Calibri" w:hAnsi="Arial" w:cs="Arial"/>
          <w:color w:val="000000"/>
          <w:sz w:val="20"/>
          <w:szCs w:val="20"/>
          <w:lang w:eastAsia="es-MX"/>
        </w:rPr>
      </w:pPr>
      <w:r w:rsidRPr="00FC23DE">
        <w:rPr>
          <w:rFonts w:ascii="Arial" w:eastAsia="Calibri" w:hAnsi="Arial" w:cs="Arial"/>
          <w:color w:val="000000"/>
          <w:sz w:val="20"/>
          <w:szCs w:val="20"/>
          <w:lang w:eastAsia="es-MX"/>
        </w:rPr>
        <w:t xml:space="preserve">Con base en lo anteriormente narrado se puede concluir que la extensión de la vigencia del Acuerdo de Cooperación Técnica para el Fortalecimiento de las Políticas Públicas basadas en Evidencia, se encuentra debidamente ajustada a lo previsto en el mismo instrumento como mecanismo para ello, respetando y ponderando el principio fundamental de derecho pacta suntservanda, ya que este constituye uno de los pilares de nuestro derecho. Todo el edificio jurídico, construido sobre la base del poder de la voluntad para que los sujetos puedan darse sus propias reglas de conducta, descansa en la confianza de que se cumplirá aquello que se conviene libre y conscientemente. “Los pactos se celebran para cumplirlos”. </w:t>
      </w:r>
    </w:p>
    <w:p w:rsidR="00FC23DE" w:rsidRPr="00FC23DE" w:rsidRDefault="00FC23DE" w:rsidP="00FC23DE">
      <w:pPr>
        <w:widowControl w:val="0"/>
        <w:spacing w:after="160"/>
        <w:contextualSpacing/>
        <w:jc w:val="both"/>
        <w:rPr>
          <w:rFonts w:ascii="Arial" w:eastAsia="Calibri" w:hAnsi="Arial" w:cs="Arial"/>
          <w:color w:val="000000"/>
          <w:sz w:val="20"/>
          <w:szCs w:val="20"/>
          <w:lang w:eastAsia="es-MX"/>
        </w:rPr>
      </w:pPr>
      <w:r w:rsidRPr="00FC23DE">
        <w:rPr>
          <w:rFonts w:ascii="Arial" w:eastAsia="Calibri" w:hAnsi="Arial" w:cs="Arial"/>
          <w:color w:val="000000"/>
          <w:sz w:val="20"/>
          <w:szCs w:val="20"/>
          <w:lang w:eastAsia="es-MX"/>
        </w:rPr>
        <w:t>En relación a la recomendación emitida en cuanto instruir al personal para que en lo sucesivo se implementen las acciones procedentes que eviten la recurrencia de conductas o decisiones que no se apeguen estrictamente a la Normatividad, en este caso en particular, considero resulta innecesario emitir alguna directriz en dicho sentido ya que como se describe en líneas anteriores, el personal involucrado en las tareas materia del Acuerdo, y específicamente en lo que ve a esta observación, actuó en estricto apego a la normativa y principios jurídicos  fundamentales.</w:t>
      </w:r>
    </w:p>
    <w:p w:rsidR="00FC23DE" w:rsidRPr="00FC23DE" w:rsidRDefault="00FC23DE" w:rsidP="00FC23DE">
      <w:pPr>
        <w:widowControl w:val="0"/>
        <w:spacing w:after="160"/>
        <w:contextualSpacing/>
        <w:jc w:val="both"/>
        <w:rPr>
          <w:rFonts w:ascii="Arial" w:eastAsia="Calibri" w:hAnsi="Arial" w:cs="Arial"/>
          <w:color w:val="000000"/>
          <w:sz w:val="20"/>
          <w:szCs w:val="20"/>
          <w:lang w:eastAsia="es-MX"/>
        </w:rPr>
      </w:pPr>
    </w:p>
    <w:p w:rsidR="00FC23DE" w:rsidRPr="00FC23DE" w:rsidRDefault="00FC23DE" w:rsidP="00F1562A">
      <w:pPr>
        <w:widowControl w:val="0"/>
        <w:spacing w:after="0"/>
        <w:contextualSpacing/>
        <w:jc w:val="both"/>
        <w:rPr>
          <w:rFonts w:ascii="Arial" w:eastAsia="Calibri" w:hAnsi="Arial" w:cs="Arial"/>
          <w:color w:val="000000"/>
          <w:sz w:val="20"/>
          <w:szCs w:val="20"/>
          <w:lang w:eastAsia="es-MX"/>
        </w:rPr>
      </w:pPr>
      <w:r w:rsidRPr="00FC23DE">
        <w:rPr>
          <w:rFonts w:ascii="Arial" w:eastAsia="Calibri" w:hAnsi="Arial" w:cs="Arial"/>
          <w:color w:val="000000"/>
          <w:sz w:val="20"/>
          <w:szCs w:val="20"/>
          <w:lang w:eastAsia="es-MX"/>
        </w:rPr>
        <w:t>Se anexa al presente la documentación siguiente:</w:t>
      </w:r>
    </w:p>
    <w:p w:rsidR="00FC23DE" w:rsidRPr="00FC23DE" w:rsidRDefault="00FC23DE" w:rsidP="00F1562A">
      <w:pPr>
        <w:widowControl w:val="0"/>
        <w:spacing w:after="0"/>
        <w:rPr>
          <w:rFonts w:ascii="Arial" w:eastAsia="Calibri" w:hAnsi="Arial" w:cs="Arial"/>
          <w:b/>
          <w:color w:val="000000"/>
          <w:sz w:val="20"/>
          <w:szCs w:val="20"/>
          <w:lang w:eastAsia="es-MX"/>
        </w:rPr>
      </w:pPr>
    </w:p>
    <w:p w:rsidR="00FC23DE" w:rsidRPr="00FC23DE" w:rsidRDefault="00FC23DE" w:rsidP="00F1562A">
      <w:pPr>
        <w:pStyle w:val="Prrafodelista"/>
        <w:widowControl w:val="0"/>
        <w:numPr>
          <w:ilvl w:val="0"/>
          <w:numId w:val="6"/>
        </w:numPr>
        <w:spacing w:after="0"/>
        <w:contextualSpacing w:val="0"/>
        <w:rPr>
          <w:rFonts w:ascii="Arial" w:eastAsia="Calibri" w:hAnsi="Arial" w:cs="Arial"/>
          <w:b/>
          <w:color w:val="000000"/>
          <w:sz w:val="20"/>
          <w:szCs w:val="20"/>
          <w:lang w:eastAsia="es-MX"/>
        </w:rPr>
      </w:pPr>
      <w:r w:rsidRPr="00FC23DE">
        <w:rPr>
          <w:rFonts w:ascii="Arial" w:eastAsia="Calibri" w:hAnsi="Arial" w:cs="Arial"/>
          <w:b/>
          <w:color w:val="000000"/>
          <w:sz w:val="20"/>
          <w:szCs w:val="20"/>
          <w:lang w:eastAsia="es-MX"/>
        </w:rPr>
        <w:t>Ayuda Memoria de la Misión de Cooperación Técnica realizada del 13 al 17 de marzo del 2017.</w:t>
      </w:r>
    </w:p>
    <w:p w:rsidR="00FC23DE" w:rsidRPr="00FC23DE" w:rsidRDefault="00FC23DE" w:rsidP="00F1562A">
      <w:pPr>
        <w:pStyle w:val="Prrafodelista"/>
        <w:widowControl w:val="0"/>
        <w:numPr>
          <w:ilvl w:val="0"/>
          <w:numId w:val="6"/>
        </w:numPr>
        <w:spacing w:after="0"/>
        <w:contextualSpacing w:val="0"/>
        <w:rPr>
          <w:rFonts w:ascii="Arial" w:eastAsia="Calibri" w:hAnsi="Arial" w:cs="Arial"/>
          <w:b/>
          <w:color w:val="000000"/>
          <w:sz w:val="20"/>
          <w:szCs w:val="20"/>
          <w:lang w:eastAsia="es-MX"/>
        </w:rPr>
      </w:pPr>
      <w:r w:rsidRPr="00FC23DE">
        <w:rPr>
          <w:rFonts w:ascii="Arial" w:eastAsia="Calibri" w:hAnsi="Arial" w:cs="Arial"/>
          <w:b/>
          <w:color w:val="000000"/>
          <w:sz w:val="20"/>
          <w:szCs w:val="20"/>
          <w:lang w:eastAsia="es-MX"/>
        </w:rPr>
        <w:t>Acuerdo de Cooperación Técnica para el Fortalecimiento de las Políticas Públicas basadas en Evidencia de fecha 01 de diciembre de 2014.</w:t>
      </w:r>
    </w:p>
    <w:p w:rsidR="009119BA" w:rsidRPr="00FC23DE" w:rsidRDefault="009119BA" w:rsidP="00FC23DE">
      <w:pPr>
        <w:jc w:val="both"/>
        <w:rPr>
          <w:rFonts w:ascii="Arial" w:hAnsi="Arial" w:cs="Arial"/>
          <w:b/>
          <w:sz w:val="20"/>
          <w:szCs w:val="20"/>
        </w:rPr>
      </w:pPr>
    </w:p>
    <w:sectPr w:rsidR="009119BA" w:rsidRPr="00FC23DE" w:rsidSect="00F1562A">
      <w:headerReference w:type="default" r:id="rId8"/>
      <w:pgSz w:w="12242" w:h="20163" w:code="5"/>
      <w:pgMar w:top="1106"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30D" w:rsidRDefault="0039730D" w:rsidP="006A2266">
      <w:pPr>
        <w:spacing w:after="0" w:line="240" w:lineRule="auto"/>
      </w:pPr>
      <w:r>
        <w:separator/>
      </w:r>
    </w:p>
  </w:endnote>
  <w:endnote w:type="continuationSeparator" w:id="1">
    <w:p w:rsidR="0039730D" w:rsidRDefault="0039730D" w:rsidP="006A2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30D" w:rsidRDefault="0039730D" w:rsidP="006A2266">
      <w:pPr>
        <w:spacing w:after="0" w:line="240" w:lineRule="auto"/>
      </w:pPr>
      <w:r>
        <w:separator/>
      </w:r>
    </w:p>
  </w:footnote>
  <w:footnote w:type="continuationSeparator" w:id="1">
    <w:p w:rsidR="0039730D" w:rsidRDefault="0039730D" w:rsidP="006A22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66" w:rsidRDefault="006A2266">
    <w:pPr>
      <w:pStyle w:val="Encabezado"/>
      <w:jc w:val="right"/>
    </w:pPr>
  </w:p>
  <w:p w:rsidR="006A2266" w:rsidRDefault="006A226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74C5"/>
    <w:multiLevelType w:val="multilevel"/>
    <w:tmpl w:val="EFDC81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7DF6ADC"/>
    <w:multiLevelType w:val="hybridMultilevel"/>
    <w:tmpl w:val="8CE812E0"/>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AB869A4"/>
    <w:multiLevelType w:val="hybridMultilevel"/>
    <w:tmpl w:val="2EAA86B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19BA"/>
    <w:rsid w:val="00047693"/>
    <w:rsid w:val="00051F4B"/>
    <w:rsid w:val="0008029C"/>
    <w:rsid w:val="000A1858"/>
    <w:rsid w:val="00112C8E"/>
    <w:rsid w:val="001F1AA0"/>
    <w:rsid w:val="0025733F"/>
    <w:rsid w:val="0026313A"/>
    <w:rsid w:val="002C5E16"/>
    <w:rsid w:val="002D6395"/>
    <w:rsid w:val="002E264A"/>
    <w:rsid w:val="00322439"/>
    <w:rsid w:val="0039730D"/>
    <w:rsid w:val="004911C4"/>
    <w:rsid w:val="004A408F"/>
    <w:rsid w:val="004C121A"/>
    <w:rsid w:val="005662F3"/>
    <w:rsid w:val="005B3004"/>
    <w:rsid w:val="00607F9C"/>
    <w:rsid w:val="006647FC"/>
    <w:rsid w:val="00664FC0"/>
    <w:rsid w:val="006A2266"/>
    <w:rsid w:val="00703B9B"/>
    <w:rsid w:val="00783784"/>
    <w:rsid w:val="007901D1"/>
    <w:rsid w:val="007D09B1"/>
    <w:rsid w:val="00862BE5"/>
    <w:rsid w:val="0089168A"/>
    <w:rsid w:val="009119BA"/>
    <w:rsid w:val="009860CE"/>
    <w:rsid w:val="009B6587"/>
    <w:rsid w:val="00A32AE6"/>
    <w:rsid w:val="00A70B08"/>
    <w:rsid w:val="00A861BD"/>
    <w:rsid w:val="00D33BDA"/>
    <w:rsid w:val="00D66841"/>
    <w:rsid w:val="00DC5D8F"/>
    <w:rsid w:val="00F02396"/>
    <w:rsid w:val="00F1562A"/>
    <w:rsid w:val="00F50580"/>
    <w:rsid w:val="00F81212"/>
    <w:rsid w:val="00FC23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99"/>
    <w:qFormat/>
    <w:rsid w:val="00F50580"/>
    <w:pPr>
      <w:ind w:left="720"/>
      <w:contextualSpacing/>
    </w:pPr>
  </w:style>
  <w:style w:type="character" w:styleId="Refdecomentario">
    <w:name w:val="annotation reference"/>
    <w:basedOn w:val="Fuentedeprrafopredeter"/>
    <w:uiPriority w:val="99"/>
    <w:semiHidden/>
    <w:unhideWhenUsed/>
    <w:rsid w:val="004C121A"/>
    <w:rPr>
      <w:sz w:val="16"/>
      <w:szCs w:val="16"/>
    </w:rPr>
  </w:style>
  <w:style w:type="paragraph" w:styleId="Textocomentario">
    <w:name w:val="annotation text"/>
    <w:basedOn w:val="Normal"/>
    <w:link w:val="TextocomentarioCar"/>
    <w:uiPriority w:val="99"/>
    <w:semiHidden/>
    <w:unhideWhenUsed/>
    <w:rsid w:val="004C121A"/>
    <w:pPr>
      <w:spacing w:after="0" w:line="240" w:lineRule="auto"/>
    </w:pPr>
    <w:rPr>
      <w:rFonts w:eastAsiaTheme="minorEastAsia"/>
      <w:sz w:val="20"/>
      <w:szCs w:val="20"/>
      <w:lang w:val="es-ES_tradnl"/>
    </w:rPr>
  </w:style>
  <w:style w:type="character" w:customStyle="1" w:styleId="TextocomentarioCar">
    <w:name w:val="Texto comentario Car"/>
    <w:basedOn w:val="Fuentedeprrafopredeter"/>
    <w:link w:val="Textocomentario"/>
    <w:uiPriority w:val="99"/>
    <w:semiHidden/>
    <w:rsid w:val="004C121A"/>
    <w:rPr>
      <w:rFonts w:eastAsiaTheme="minorEastAsia"/>
      <w:sz w:val="20"/>
      <w:szCs w:val="20"/>
      <w:lang w:val="es-ES_tradnl"/>
    </w:rPr>
  </w:style>
  <w:style w:type="paragraph" w:styleId="Textodeglobo">
    <w:name w:val="Balloon Text"/>
    <w:basedOn w:val="Normal"/>
    <w:link w:val="TextodegloboCar"/>
    <w:uiPriority w:val="99"/>
    <w:semiHidden/>
    <w:unhideWhenUsed/>
    <w:rsid w:val="004C12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21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E264A"/>
    <w:pPr>
      <w:spacing w:after="200"/>
    </w:pPr>
    <w:rPr>
      <w:rFonts w:eastAsiaTheme="minorHAnsi"/>
      <w:b/>
      <w:bCs/>
      <w:lang w:val="es-MX"/>
    </w:rPr>
  </w:style>
  <w:style w:type="character" w:customStyle="1" w:styleId="AsuntodelcomentarioCar">
    <w:name w:val="Asunto del comentario Car"/>
    <w:basedOn w:val="TextocomentarioCar"/>
    <w:link w:val="Asuntodelcomentario"/>
    <w:uiPriority w:val="99"/>
    <w:semiHidden/>
    <w:rsid w:val="002E264A"/>
    <w:rPr>
      <w:rFonts w:eastAsiaTheme="minorEastAsia"/>
      <w:b/>
      <w:bCs/>
      <w:sz w:val="20"/>
      <w:szCs w:val="20"/>
      <w:lang w:val="es-ES_tradnl"/>
    </w:rPr>
  </w:style>
  <w:style w:type="paragraph" w:styleId="Encabezado">
    <w:name w:val="header"/>
    <w:basedOn w:val="Normal"/>
    <w:link w:val="EncabezadoCar"/>
    <w:uiPriority w:val="99"/>
    <w:unhideWhenUsed/>
    <w:rsid w:val="006A22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2266"/>
  </w:style>
  <w:style w:type="paragraph" w:styleId="Piedepgina">
    <w:name w:val="footer"/>
    <w:basedOn w:val="Normal"/>
    <w:link w:val="PiedepginaCar"/>
    <w:uiPriority w:val="99"/>
    <w:semiHidden/>
    <w:unhideWhenUsed/>
    <w:rsid w:val="006A22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A226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2FAB0-9F39-465C-A28E-89157AB5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594</Words>
  <Characters>3268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25</cp:revision>
  <dcterms:created xsi:type="dcterms:W3CDTF">2014-05-22T01:10:00Z</dcterms:created>
  <dcterms:modified xsi:type="dcterms:W3CDTF">2018-07-18T16:55:00Z</dcterms:modified>
</cp:coreProperties>
</file>