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DD" w:rsidRPr="00413CB7" w:rsidRDefault="005C16AB" w:rsidP="002D48DD">
      <w:pPr>
        <w:pStyle w:val="Textoindependiente"/>
        <w:jc w:val="center"/>
        <w:rPr>
          <w:rFonts w:cs="Arial"/>
          <w:b/>
          <w:bCs/>
          <w:sz w:val="26"/>
          <w:szCs w:val="26"/>
        </w:rPr>
      </w:pPr>
      <w:r w:rsidRPr="00413CB7">
        <w:rPr>
          <w:rFonts w:cs="Arial"/>
          <w:b/>
          <w:bCs/>
          <w:sz w:val="26"/>
          <w:szCs w:val="26"/>
        </w:rPr>
        <w:t>ANEXO  “E</w:t>
      </w:r>
      <w:r w:rsidR="00917AB3" w:rsidRPr="00413CB7">
        <w:rPr>
          <w:rFonts w:cs="Arial"/>
          <w:b/>
          <w:bCs/>
          <w:sz w:val="26"/>
          <w:szCs w:val="26"/>
        </w:rPr>
        <w:t>”</w:t>
      </w:r>
    </w:p>
    <w:p w:rsidR="0034326F" w:rsidRPr="00CA26BE" w:rsidRDefault="0034326F" w:rsidP="0034326F">
      <w:pPr>
        <w:pStyle w:val="Textoindependiente"/>
        <w:jc w:val="center"/>
        <w:rPr>
          <w:rFonts w:cs="Arial"/>
          <w:b/>
          <w:bCs/>
          <w:szCs w:val="24"/>
        </w:rPr>
      </w:pPr>
      <w:r w:rsidRPr="00CA26BE">
        <w:rPr>
          <w:rFonts w:cs="Arial"/>
          <w:b/>
          <w:szCs w:val="24"/>
        </w:rPr>
        <w:t>Fideicomiso de Desarrollo Urbano (FIDEUR).</w:t>
      </w:r>
    </w:p>
    <w:p w:rsidR="0034326F" w:rsidRPr="00CA26BE" w:rsidRDefault="0034326F" w:rsidP="0034326F">
      <w:pPr>
        <w:pStyle w:val="Textoindependiente"/>
        <w:jc w:val="center"/>
        <w:rPr>
          <w:rFonts w:cs="Arial"/>
          <w:b/>
          <w:szCs w:val="24"/>
        </w:rPr>
      </w:pPr>
      <w:r w:rsidRPr="00CA26BE">
        <w:rPr>
          <w:rFonts w:cs="Arial"/>
          <w:b/>
          <w:bCs/>
          <w:szCs w:val="24"/>
        </w:rPr>
        <w:t xml:space="preserve">Auditoria </w:t>
      </w:r>
      <w:r w:rsidR="00917AB3" w:rsidRPr="00CA26BE">
        <w:rPr>
          <w:rFonts w:cs="Arial"/>
          <w:b/>
          <w:bCs/>
          <w:szCs w:val="24"/>
        </w:rPr>
        <w:t xml:space="preserve">del </w:t>
      </w:r>
      <w:r w:rsidR="00917AB3" w:rsidRPr="00CA26BE">
        <w:rPr>
          <w:rFonts w:cs="Arial"/>
          <w:b/>
        </w:rPr>
        <w:t>01 de Mayo al 31 de Diciembre de 2016 y del 01 de Enero al 31 de Diciembre de 2017 y Eventos Posteriores</w:t>
      </w:r>
    </w:p>
    <w:p w:rsidR="00EC6A8B" w:rsidRDefault="00EC6A8B" w:rsidP="0034326F">
      <w:pPr>
        <w:pStyle w:val="Textoindependiente"/>
        <w:jc w:val="center"/>
        <w:rPr>
          <w:rFonts w:cs="Arial"/>
          <w:b/>
          <w:szCs w:val="24"/>
        </w:rPr>
      </w:pPr>
    </w:p>
    <w:p w:rsidR="00413CB7" w:rsidRDefault="005C16AB" w:rsidP="00EC6A8B">
      <w:pPr>
        <w:pStyle w:val="Textoindependiente"/>
        <w:jc w:val="right"/>
        <w:rPr>
          <w:rFonts w:cs="Arial"/>
          <w:b/>
          <w:szCs w:val="24"/>
        </w:rPr>
      </w:pPr>
      <w:r w:rsidRPr="00CA26BE">
        <w:rPr>
          <w:rFonts w:cs="Arial"/>
          <w:b/>
          <w:szCs w:val="24"/>
        </w:rPr>
        <w:t xml:space="preserve">Observación </w:t>
      </w:r>
      <w:bookmarkStart w:id="0" w:name="_GoBack"/>
      <w:bookmarkEnd w:id="0"/>
      <w:r w:rsidRPr="00CA26BE">
        <w:rPr>
          <w:rFonts w:cs="Arial"/>
          <w:b/>
          <w:szCs w:val="24"/>
        </w:rPr>
        <w:t>No. 1.6</w:t>
      </w:r>
    </w:p>
    <w:p w:rsidR="0034326F" w:rsidRPr="00CA26BE" w:rsidRDefault="005C16AB" w:rsidP="00EC6A8B">
      <w:pPr>
        <w:pStyle w:val="Textoindependiente"/>
        <w:jc w:val="right"/>
        <w:rPr>
          <w:rFonts w:cs="Arial"/>
          <w:b/>
          <w:szCs w:val="24"/>
        </w:rPr>
      </w:pPr>
      <w:r w:rsidRPr="00CA26BE">
        <w:rPr>
          <w:rFonts w:cs="Arial"/>
          <w:b/>
          <w:szCs w:val="24"/>
        </w:rPr>
        <w:t>Página 4</w:t>
      </w:r>
      <w:r w:rsidR="0034326F" w:rsidRPr="00CA26BE">
        <w:rPr>
          <w:rFonts w:cs="Arial"/>
          <w:b/>
          <w:szCs w:val="24"/>
        </w:rPr>
        <w:t xml:space="preserve"> de 9.</w:t>
      </w:r>
    </w:p>
    <w:p w:rsidR="00BD1E61" w:rsidRDefault="00BD1E61" w:rsidP="00BD1E61">
      <w:pPr>
        <w:tabs>
          <w:tab w:val="left" w:pos="2411"/>
        </w:tabs>
        <w:jc w:val="both"/>
        <w:rPr>
          <w:rFonts w:ascii="Arial" w:hAnsi="Arial" w:cs="Arial"/>
          <w:b/>
        </w:rPr>
      </w:pPr>
    </w:p>
    <w:p w:rsidR="00BD1E61" w:rsidRPr="005C16AB" w:rsidRDefault="00BD1E61" w:rsidP="00BD1E61">
      <w:pPr>
        <w:tabs>
          <w:tab w:val="left" w:pos="2411"/>
        </w:tabs>
        <w:jc w:val="both"/>
        <w:rPr>
          <w:rFonts w:ascii="Arial" w:hAnsi="Arial" w:cs="Arial"/>
          <w:b/>
          <w:sz w:val="20"/>
          <w:szCs w:val="20"/>
        </w:rPr>
      </w:pPr>
      <w:r w:rsidRPr="005C16AB">
        <w:rPr>
          <w:rFonts w:ascii="Arial" w:hAnsi="Arial" w:cs="Arial"/>
          <w:b/>
          <w:sz w:val="20"/>
          <w:szCs w:val="20"/>
        </w:rPr>
        <w:t xml:space="preserve">1.0.- ACTIVO FIJO. </w:t>
      </w:r>
    </w:p>
    <w:p w:rsidR="00BD1E61" w:rsidRPr="005C16AB" w:rsidRDefault="000E4102" w:rsidP="00BD1E61">
      <w:pPr>
        <w:jc w:val="both"/>
        <w:rPr>
          <w:rFonts w:ascii="Arial" w:hAnsi="Arial" w:cs="Arial"/>
          <w:b/>
          <w:sz w:val="20"/>
          <w:szCs w:val="20"/>
          <w:u w:val="single"/>
        </w:rPr>
      </w:pPr>
      <w:r>
        <w:rPr>
          <w:rFonts w:ascii="Arial" w:hAnsi="Arial" w:cs="Arial"/>
          <w:b/>
          <w:sz w:val="20"/>
          <w:szCs w:val="20"/>
          <w:u w:val="single"/>
        </w:rPr>
        <w:t>D</w:t>
      </w:r>
      <w:r w:rsidR="00BD1E61" w:rsidRPr="005C16AB">
        <w:rPr>
          <w:rFonts w:ascii="Arial" w:hAnsi="Arial" w:cs="Arial"/>
          <w:b/>
          <w:sz w:val="20"/>
          <w:szCs w:val="20"/>
          <w:u w:val="single"/>
        </w:rPr>
        <w:t>eficiente Control Interno.</w:t>
      </w:r>
    </w:p>
    <w:p w:rsidR="00917AB3" w:rsidRPr="005C16AB" w:rsidRDefault="00917AB3" w:rsidP="00917AB3">
      <w:pPr>
        <w:rPr>
          <w:rFonts w:ascii="Arial" w:hAnsi="Arial" w:cs="Arial"/>
          <w:b/>
          <w:sz w:val="20"/>
          <w:szCs w:val="20"/>
          <w:u w:val="single"/>
        </w:rPr>
      </w:pPr>
      <w:r w:rsidRPr="005C16AB">
        <w:rPr>
          <w:rFonts w:ascii="Arial" w:hAnsi="Arial" w:cs="Arial"/>
          <w:b/>
          <w:sz w:val="20"/>
          <w:szCs w:val="20"/>
          <w:u w:val="single"/>
        </w:rPr>
        <w:t>Contestación:</w:t>
      </w:r>
    </w:p>
    <w:p w:rsidR="005C16AB" w:rsidRPr="005C16AB" w:rsidRDefault="005C16AB" w:rsidP="005C16AB">
      <w:pPr>
        <w:spacing w:after="0"/>
        <w:ind w:left="-142"/>
        <w:jc w:val="both"/>
        <w:rPr>
          <w:rFonts w:ascii="Arial" w:eastAsia="Times New Roman" w:hAnsi="Arial" w:cs="Arial"/>
          <w:b/>
          <w:color w:val="262626"/>
          <w:sz w:val="20"/>
          <w:szCs w:val="20"/>
          <w:lang w:eastAsia="es-ES"/>
        </w:rPr>
      </w:pPr>
      <w:r w:rsidRPr="005C16AB">
        <w:rPr>
          <w:rFonts w:ascii="Arial" w:eastAsia="Times New Roman" w:hAnsi="Arial" w:cs="Arial"/>
          <w:b/>
          <w:color w:val="262626"/>
          <w:sz w:val="20"/>
          <w:szCs w:val="20"/>
          <w:lang w:eastAsia="es-ES"/>
        </w:rPr>
        <w:t>1.-</w:t>
      </w:r>
      <w:r w:rsidRPr="005C16AB">
        <w:rPr>
          <w:rFonts w:ascii="Arial" w:eastAsia="Times New Roman" w:hAnsi="Arial" w:cs="Arial"/>
          <w:color w:val="262626"/>
          <w:sz w:val="20"/>
          <w:szCs w:val="20"/>
          <w:lang w:eastAsia="es-ES"/>
        </w:rPr>
        <w:t xml:space="preserve"> Con fecha15 de mayo del 2017, se celebró la Vigésima Trigésima Sesión del Comité Técnico del Fideicomiso para el Desarrollo Urbano de Jalisco, en la cual entre otras cosas se aprobó dar de baja y otorgar en donación a la Secretaría de Planeación, Administración y Finanzas (SEPAF), entre otros bienes muebles, el </w:t>
      </w:r>
      <w:r w:rsidRPr="005C16AB">
        <w:rPr>
          <w:rFonts w:ascii="Arial" w:hAnsi="Arial" w:cs="Arial"/>
          <w:color w:val="000000"/>
          <w:sz w:val="20"/>
          <w:szCs w:val="20"/>
          <w:lang w:eastAsia="es-MX"/>
        </w:rPr>
        <w:t>IPAD 2 64 GB WN (10000155568)</w:t>
      </w:r>
      <w:r w:rsidRPr="005C16AB">
        <w:rPr>
          <w:rFonts w:ascii="Arial" w:eastAsia="Times New Roman" w:hAnsi="Arial" w:cs="Arial"/>
          <w:b/>
          <w:color w:val="262626"/>
          <w:sz w:val="20"/>
          <w:szCs w:val="20"/>
          <w:lang w:eastAsia="es-ES"/>
        </w:rPr>
        <w:t>. Se anexa acta de la sesión 130 del Comité Técnico de FIDEUR, en la que consta la aprobación para dar de baja y entregar a SEPAF, el IPAD antes mencionados; Anexo 2.</w:t>
      </w:r>
    </w:p>
    <w:p w:rsidR="005C16AB" w:rsidRPr="005C16AB" w:rsidRDefault="005C16AB" w:rsidP="005C16AB">
      <w:pPr>
        <w:spacing w:after="0"/>
        <w:ind w:left="-142"/>
        <w:jc w:val="both"/>
        <w:rPr>
          <w:rFonts w:ascii="Arial" w:eastAsia="Times New Roman" w:hAnsi="Arial" w:cs="Arial"/>
          <w:b/>
          <w:color w:val="262626"/>
          <w:sz w:val="20"/>
          <w:szCs w:val="20"/>
          <w:lang w:eastAsia="es-ES"/>
        </w:rPr>
      </w:pPr>
    </w:p>
    <w:p w:rsidR="005C16AB" w:rsidRPr="005C16AB" w:rsidRDefault="005C16AB" w:rsidP="005C16AB">
      <w:pPr>
        <w:spacing w:after="0"/>
        <w:ind w:left="-142"/>
        <w:jc w:val="both"/>
        <w:rPr>
          <w:rFonts w:ascii="Arial" w:hAnsi="Arial" w:cs="Arial"/>
          <w:b/>
          <w:sz w:val="20"/>
          <w:szCs w:val="20"/>
        </w:rPr>
      </w:pPr>
      <w:r w:rsidRPr="005C16AB">
        <w:rPr>
          <w:rFonts w:ascii="Arial" w:hAnsi="Arial" w:cs="Arial"/>
          <w:b/>
          <w:sz w:val="20"/>
          <w:szCs w:val="20"/>
        </w:rPr>
        <w:t>2.-</w:t>
      </w:r>
      <w:r w:rsidRPr="005C16AB">
        <w:rPr>
          <w:rFonts w:ascii="Arial" w:hAnsi="Arial" w:cs="Arial"/>
          <w:sz w:val="20"/>
          <w:szCs w:val="20"/>
        </w:rPr>
        <w:t xml:space="preserve">  Con fecha 10 de Agosto del 2018, se celebró el contrato de donación de bienes muebles entre la SEPAF y el FIDEUR, donándose entre otros bienes </w:t>
      </w:r>
      <w:r w:rsidRPr="005C16AB">
        <w:rPr>
          <w:rFonts w:ascii="Arial" w:hAnsi="Arial" w:cs="Arial"/>
          <w:color w:val="000000"/>
          <w:sz w:val="20"/>
          <w:szCs w:val="20"/>
          <w:lang w:eastAsia="es-MX"/>
        </w:rPr>
        <w:t>IPAD 2 64 GB WN (10000155568)</w:t>
      </w:r>
      <w:r w:rsidRPr="005C16AB">
        <w:rPr>
          <w:rFonts w:ascii="Arial" w:eastAsia="Times New Roman" w:hAnsi="Arial" w:cs="Arial"/>
          <w:b/>
          <w:color w:val="262626"/>
          <w:sz w:val="20"/>
          <w:szCs w:val="20"/>
          <w:lang w:eastAsia="es-ES"/>
        </w:rPr>
        <w:t>.</w:t>
      </w:r>
      <w:r w:rsidRPr="005C16AB">
        <w:rPr>
          <w:rFonts w:ascii="Arial" w:hAnsi="Arial" w:cs="Arial"/>
          <w:b/>
          <w:sz w:val="20"/>
          <w:szCs w:val="20"/>
        </w:rPr>
        <w:t xml:space="preserve">Se anexa Contrato de Donación; </w:t>
      </w:r>
      <w:r w:rsidRPr="005C16AB">
        <w:rPr>
          <w:rFonts w:ascii="Arial" w:eastAsia="Times New Roman" w:hAnsi="Arial" w:cs="Arial"/>
          <w:b/>
          <w:color w:val="262626"/>
          <w:sz w:val="20"/>
          <w:szCs w:val="20"/>
          <w:lang w:eastAsia="es-ES"/>
        </w:rPr>
        <w:t>Anexo 3.</w:t>
      </w:r>
    </w:p>
    <w:p w:rsidR="005C16AB" w:rsidRPr="005C16AB" w:rsidRDefault="005C16AB" w:rsidP="005C16AB">
      <w:pPr>
        <w:spacing w:after="0"/>
        <w:ind w:left="-142"/>
        <w:jc w:val="both"/>
        <w:rPr>
          <w:rFonts w:ascii="Arial" w:hAnsi="Arial" w:cs="Arial"/>
          <w:sz w:val="20"/>
          <w:szCs w:val="20"/>
        </w:rPr>
      </w:pPr>
    </w:p>
    <w:p w:rsidR="005C16AB" w:rsidRPr="005C16AB" w:rsidRDefault="005C16AB" w:rsidP="005C16AB">
      <w:pPr>
        <w:spacing w:after="0"/>
        <w:ind w:left="-142"/>
        <w:jc w:val="both"/>
        <w:rPr>
          <w:rFonts w:ascii="Arial" w:hAnsi="Arial" w:cs="Arial"/>
          <w:b/>
          <w:sz w:val="20"/>
          <w:szCs w:val="20"/>
        </w:rPr>
      </w:pPr>
      <w:r w:rsidRPr="005C16AB">
        <w:rPr>
          <w:rFonts w:ascii="Arial" w:hAnsi="Arial" w:cs="Arial"/>
          <w:sz w:val="20"/>
          <w:szCs w:val="20"/>
        </w:rPr>
        <w:t xml:space="preserve">Por lo que se realizó la baja contable de dicha IPAD. </w:t>
      </w:r>
      <w:r w:rsidRPr="005C16AB">
        <w:rPr>
          <w:rFonts w:ascii="Arial" w:hAnsi="Arial" w:cs="Arial"/>
          <w:b/>
          <w:sz w:val="20"/>
          <w:szCs w:val="20"/>
        </w:rPr>
        <w:t xml:space="preserve">Se anexa baja de registro contable; </w:t>
      </w:r>
      <w:r w:rsidRPr="005C16AB">
        <w:rPr>
          <w:rFonts w:ascii="Arial" w:eastAsia="Times New Roman" w:hAnsi="Arial" w:cs="Arial"/>
          <w:b/>
          <w:color w:val="262626"/>
          <w:sz w:val="20"/>
          <w:szCs w:val="20"/>
          <w:lang w:eastAsia="es-ES"/>
        </w:rPr>
        <w:t>Anexo 4.</w:t>
      </w:r>
    </w:p>
    <w:p w:rsidR="005C16AB" w:rsidRPr="005C16AB" w:rsidRDefault="005C16AB" w:rsidP="005C16AB">
      <w:pPr>
        <w:spacing w:after="0"/>
        <w:ind w:left="-142"/>
        <w:jc w:val="both"/>
        <w:rPr>
          <w:rFonts w:ascii="Arial" w:hAnsi="Arial" w:cs="Arial"/>
          <w:sz w:val="20"/>
          <w:szCs w:val="20"/>
        </w:rPr>
      </w:pPr>
    </w:p>
    <w:p w:rsidR="005C16AB" w:rsidRPr="005C16AB" w:rsidRDefault="005C16AB" w:rsidP="005C16AB">
      <w:pPr>
        <w:spacing w:after="0"/>
        <w:ind w:left="-142"/>
        <w:jc w:val="both"/>
        <w:rPr>
          <w:rFonts w:ascii="Arial" w:eastAsia="Times New Roman" w:hAnsi="Arial" w:cs="Arial"/>
          <w:b/>
          <w:color w:val="262626"/>
          <w:sz w:val="20"/>
          <w:szCs w:val="20"/>
          <w:lang w:eastAsia="es-ES"/>
        </w:rPr>
      </w:pPr>
      <w:r w:rsidRPr="005C16AB">
        <w:rPr>
          <w:rFonts w:ascii="Arial" w:hAnsi="Arial" w:cs="Arial"/>
          <w:b/>
          <w:sz w:val="20"/>
          <w:szCs w:val="20"/>
        </w:rPr>
        <w:t>3.-</w:t>
      </w:r>
      <w:r w:rsidRPr="005C16AB">
        <w:rPr>
          <w:rFonts w:ascii="Arial" w:hAnsi="Arial" w:cs="Arial"/>
          <w:sz w:val="20"/>
          <w:szCs w:val="20"/>
        </w:rPr>
        <w:t xml:space="preserve"> Respecto a la </w:t>
      </w:r>
      <w:r w:rsidRPr="005C16AB">
        <w:rPr>
          <w:rFonts w:ascii="Arial" w:hAnsi="Arial" w:cs="Arial"/>
          <w:color w:val="000000"/>
          <w:sz w:val="20"/>
          <w:szCs w:val="20"/>
          <w:lang w:eastAsia="es-MX"/>
        </w:rPr>
        <w:t>IPAD 2 Wifi Celular 16 GB silver</w:t>
      </w:r>
      <w:r w:rsidRPr="005C16AB">
        <w:rPr>
          <w:rFonts w:ascii="Arial" w:eastAsia="Calibri" w:hAnsi="Arial" w:cs="Arial"/>
          <w:sz w:val="20"/>
          <w:szCs w:val="20"/>
        </w:rPr>
        <w:t xml:space="preserve">; esta se encuentra en resguardo de la Dirección General del FIDEUR, desde el día 01 de Junio del 2018. </w:t>
      </w:r>
      <w:r w:rsidRPr="005C16AB">
        <w:rPr>
          <w:rFonts w:ascii="Arial" w:eastAsia="Calibri" w:hAnsi="Arial" w:cs="Arial"/>
          <w:b/>
          <w:sz w:val="20"/>
          <w:szCs w:val="20"/>
        </w:rPr>
        <w:t xml:space="preserve">Se anexa copia del resguardo; </w:t>
      </w:r>
      <w:r w:rsidRPr="005C16AB">
        <w:rPr>
          <w:rFonts w:ascii="Arial" w:eastAsia="Times New Roman" w:hAnsi="Arial" w:cs="Arial"/>
          <w:b/>
          <w:color w:val="262626"/>
          <w:sz w:val="20"/>
          <w:szCs w:val="20"/>
          <w:lang w:eastAsia="es-ES"/>
        </w:rPr>
        <w:t>Anexo 8.</w:t>
      </w:r>
    </w:p>
    <w:p w:rsidR="005C16AB" w:rsidRPr="005C16AB" w:rsidRDefault="005C16AB" w:rsidP="005C16AB">
      <w:pPr>
        <w:spacing w:after="0"/>
        <w:ind w:left="-142"/>
        <w:jc w:val="both"/>
        <w:rPr>
          <w:rFonts w:ascii="Arial" w:hAnsi="Arial" w:cs="Arial"/>
          <w:sz w:val="20"/>
          <w:szCs w:val="20"/>
        </w:rPr>
      </w:pPr>
    </w:p>
    <w:p w:rsidR="005C16AB" w:rsidRPr="005C16AB" w:rsidRDefault="005C16AB" w:rsidP="005C16AB">
      <w:pPr>
        <w:spacing w:after="0"/>
        <w:ind w:left="-142"/>
        <w:jc w:val="both"/>
        <w:rPr>
          <w:rFonts w:ascii="Arial" w:hAnsi="Arial" w:cs="Arial"/>
          <w:b/>
          <w:sz w:val="20"/>
          <w:szCs w:val="20"/>
        </w:rPr>
      </w:pPr>
      <w:r w:rsidRPr="005C16AB">
        <w:rPr>
          <w:rFonts w:ascii="Arial" w:hAnsi="Arial" w:cs="Arial"/>
          <w:b/>
          <w:sz w:val="20"/>
          <w:szCs w:val="20"/>
        </w:rPr>
        <w:t>4.-</w:t>
      </w:r>
      <w:r w:rsidRPr="005C16AB">
        <w:rPr>
          <w:rFonts w:ascii="Arial" w:hAnsi="Arial" w:cs="Arial"/>
          <w:sz w:val="20"/>
          <w:szCs w:val="20"/>
        </w:rPr>
        <w:t xml:space="preserve"> Se implementaron las acciones pertinentes, para evitar la recurrencia de estas conductas, por lo que se </w:t>
      </w:r>
      <w:r w:rsidR="001A69B4" w:rsidRPr="005C16AB">
        <w:rPr>
          <w:rFonts w:ascii="Arial" w:hAnsi="Arial" w:cs="Arial"/>
          <w:sz w:val="20"/>
          <w:szCs w:val="20"/>
        </w:rPr>
        <w:t>envió</w:t>
      </w:r>
      <w:r w:rsidRPr="005C16AB">
        <w:rPr>
          <w:rFonts w:ascii="Arial" w:hAnsi="Arial" w:cs="Arial"/>
          <w:sz w:val="20"/>
          <w:szCs w:val="20"/>
        </w:rPr>
        <w:t xml:space="preserve"> comunicado a la encargada del área administrativa de FIDEUR, en la que se solicita que cuando existan bajas de activos se realice la respectiva baja contable.</w:t>
      </w:r>
      <w:r w:rsidRPr="005C16AB">
        <w:rPr>
          <w:rFonts w:ascii="Arial" w:hAnsi="Arial" w:cs="Arial"/>
          <w:b/>
          <w:sz w:val="20"/>
          <w:szCs w:val="20"/>
        </w:rPr>
        <w:t xml:space="preserve"> Se anexa Oficio FIDEUR 073/2018 dirigido a la encargada del área administrativa del Fideicomiso; Anexo 6.</w:t>
      </w:r>
    </w:p>
    <w:p w:rsidR="001A69B4" w:rsidRDefault="001A69B4" w:rsidP="005C16AB">
      <w:pPr>
        <w:spacing w:after="0"/>
        <w:ind w:left="-142"/>
        <w:jc w:val="both"/>
        <w:rPr>
          <w:rFonts w:ascii="Arial" w:hAnsi="Arial" w:cs="Arial"/>
          <w:b/>
          <w:sz w:val="20"/>
          <w:szCs w:val="20"/>
        </w:rPr>
      </w:pPr>
    </w:p>
    <w:p w:rsidR="005C16AB" w:rsidRPr="005C16AB" w:rsidRDefault="005C16AB" w:rsidP="005C16AB">
      <w:pPr>
        <w:spacing w:after="0"/>
        <w:ind w:left="-142"/>
        <w:jc w:val="both"/>
        <w:rPr>
          <w:rFonts w:ascii="Arial" w:eastAsia="Times New Roman" w:hAnsi="Arial" w:cs="Arial"/>
          <w:color w:val="262626"/>
          <w:sz w:val="20"/>
          <w:szCs w:val="20"/>
          <w:lang w:eastAsia="es-ES"/>
        </w:rPr>
      </w:pPr>
      <w:r w:rsidRPr="005C16AB">
        <w:rPr>
          <w:rFonts w:ascii="Arial" w:hAnsi="Arial" w:cs="Arial"/>
          <w:b/>
          <w:sz w:val="20"/>
          <w:szCs w:val="20"/>
        </w:rPr>
        <w:t>5.-</w:t>
      </w:r>
      <w:r w:rsidRPr="005C16AB">
        <w:rPr>
          <w:rFonts w:ascii="Arial" w:hAnsi="Arial" w:cs="Arial"/>
          <w:sz w:val="20"/>
          <w:szCs w:val="20"/>
        </w:rPr>
        <w:t xml:space="preserve"> Siempre se ha cumplido con el servicio que se ha encomendado, salvaguardando  los principios de legalidad, honradez, lealtad, imparcialidad y eficacia, por lo que no existe contravención a lo señalado en los artículos </w:t>
      </w:r>
      <w:r w:rsidRPr="005C16AB">
        <w:rPr>
          <w:rFonts w:ascii="Arial" w:hAnsi="Arial" w:cs="Arial"/>
          <w:b/>
          <w:sz w:val="20"/>
          <w:szCs w:val="20"/>
        </w:rPr>
        <w:t xml:space="preserve">61 fracciones I, IV </w:t>
      </w:r>
      <w:r w:rsidRPr="005C16AB">
        <w:rPr>
          <w:rFonts w:ascii="Arial" w:hAnsi="Arial" w:cs="Arial"/>
          <w:sz w:val="20"/>
          <w:szCs w:val="20"/>
        </w:rPr>
        <w:t>de la ya abrogada Ley de Responsabilidades de los Servidores Públicos del estado de Jalisco. Asimismo,</w:t>
      </w:r>
      <w:r w:rsidRPr="005C16AB">
        <w:rPr>
          <w:rFonts w:ascii="Arial" w:eastAsia="Times New Roman" w:hAnsi="Arial" w:cs="Arial"/>
          <w:color w:val="262626"/>
          <w:sz w:val="20"/>
          <w:szCs w:val="20"/>
          <w:lang w:eastAsia="es-ES"/>
        </w:rPr>
        <w:t xml:space="preserve"> queda en evidencia que no existe riesgo por uso indebido de los bienes, ni de daño patrimonial, toda vez que ya se realizó el proceso de donación ante la SEPAF conforme a lo señalado por el Comité Técnico del Fideicomiso.</w:t>
      </w:r>
    </w:p>
    <w:p w:rsidR="00917AB3" w:rsidRPr="00BD1E61" w:rsidRDefault="00917AB3" w:rsidP="005C16AB">
      <w:pPr>
        <w:ind w:left="-142"/>
        <w:jc w:val="both"/>
        <w:rPr>
          <w:rFonts w:ascii="Arial" w:hAnsi="Arial" w:cs="Arial"/>
          <w:b/>
          <w:sz w:val="20"/>
          <w:szCs w:val="20"/>
          <w:u w:val="single"/>
        </w:rPr>
      </w:pPr>
    </w:p>
    <w:sectPr w:rsidR="00917AB3" w:rsidRPr="00BD1E61" w:rsidSect="00EC6A8B">
      <w:pgSz w:w="12242" w:h="20163" w:code="5"/>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5B" w:rsidRDefault="0067525B" w:rsidP="00243ECE">
      <w:pPr>
        <w:spacing w:after="0" w:line="240" w:lineRule="auto"/>
      </w:pPr>
      <w:r>
        <w:separator/>
      </w:r>
    </w:p>
  </w:endnote>
  <w:endnote w:type="continuationSeparator" w:id="0">
    <w:p w:rsidR="0067525B" w:rsidRDefault="0067525B" w:rsidP="002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5B" w:rsidRDefault="0067525B" w:rsidP="00243ECE">
      <w:pPr>
        <w:spacing w:after="0" w:line="240" w:lineRule="auto"/>
      </w:pPr>
      <w:r>
        <w:separator/>
      </w:r>
    </w:p>
  </w:footnote>
  <w:footnote w:type="continuationSeparator" w:id="0">
    <w:p w:rsidR="0067525B" w:rsidRDefault="0067525B" w:rsidP="0024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7"/>
    <w:multiLevelType w:val="multilevel"/>
    <w:tmpl w:val="9BF4584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C45781"/>
    <w:multiLevelType w:val="hybridMultilevel"/>
    <w:tmpl w:val="7D0A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EB1BE8"/>
    <w:multiLevelType w:val="hybridMultilevel"/>
    <w:tmpl w:val="4A983168"/>
    <w:lvl w:ilvl="0" w:tplc="488694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40206C"/>
    <w:multiLevelType w:val="hybridMultilevel"/>
    <w:tmpl w:val="EB5A9454"/>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344A84"/>
    <w:multiLevelType w:val="multilevel"/>
    <w:tmpl w:val="EDC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26D80"/>
    <w:rsid w:val="00051F4B"/>
    <w:rsid w:val="0008029C"/>
    <w:rsid w:val="000E4102"/>
    <w:rsid w:val="001900F0"/>
    <w:rsid w:val="001A69B4"/>
    <w:rsid w:val="00214231"/>
    <w:rsid w:val="00243ECE"/>
    <w:rsid w:val="0026313A"/>
    <w:rsid w:val="0029013B"/>
    <w:rsid w:val="002C5E16"/>
    <w:rsid w:val="002D48DD"/>
    <w:rsid w:val="002D6395"/>
    <w:rsid w:val="002F377E"/>
    <w:rsid w:val="002F4C05"/>
    <w:rsid w:val="0034326F"/>
    <w:rsid w:val="00413CB7"/>
    <w:rsid w:val="00421CC3"/>
    <w:rsid w:val="004911C4"/>
    <w:rsid w:val="00512797"/>
    <w:rsid w:val="0052261B"/>
    <w:rsid w:val="005916A7"/>
    <w:rsid w:val="005C16AB"/>
    <w:rsid w:val="0067525B"/>
    <w:rsid w:val="00697CEC"/>
    <w:rsid w:val="00771737"/>
    <w:rsid w:val="009119BA"/>
    <w:rsid w:val="00917AB3"/>
    <w:rsid w:val="009860CE"/>
    <w:rsid w:val="009B6587"/>
    <w:rsid w:val="00A32AE6"/>
    <w:rsid w:val="00A70B08"/>
    <w:rsid w:val="00AE3B3F"/>
    <w:rsid w:val="00B708D0"/>
    <w:rsid w:val="00BD1E61"/>
    <w:rsid w:val="00BE232F"/>
    <w:rsid w:val="00BE2D9D"/>
    <w:rsid w:val="00BF59AF"/>
    <w:rsid w:val="00CA26BE"/>
    <w:rsid w:val="00CD55A9"/>
    <w:rsid w:val="00D66841"/>
    <w:rsid w:val="00D76C30"/>
    <w:rsid w:val="00DC5D8F"/>
    <w:rsid w:val="00DE03E3"/>
    <w:rsid w:val="00EC6A8B"/>
    <w:rsid w:val="00F50580"/>
    <w:rsid w:val="00F809A1"/>
    <w:rsid w:val="00F864D8"/>
    <w:rsid w:val="00FC63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8CEE-43B7-40FA-ACB0-A73FEAF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A1"/>
  </w:style>
  <w:style w:type="paragraph" w:styleId="Ttulo3">
    <w:name w:val="heading 3"/>
    <w:basedOn w:val="Normal"/>
    <w:next w:val="Normal"/>
    <w:link w:val="Ttulo3Car"/>
    <w:uiPriority w:val="99"/>
    <w:qFormat/>
    <w:rsid w:val="00CD55A9"/>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qFormat/>
    <w:rsid w:val="00F50580"/>
    <w:pPr>
      <w:ind w:left="720"/>
      <w:contextualSpacing/>
    </w:pPr>
  </w:style>
  <w:style w:type="character" w:customStyle="1" w:styleId="Ttulo3Car">
    <w:name w:val="Título 3 Car"/>
    <w:basedOn w:val="Fuentedeprrafopredeter"/>
    <w:link w:val="Ttulo3"/>
    <w:uiPriority w:val="99"/>
    <w:rsid w:val="00CD55A9"/>
    <w:rPr>
      <w:rFonts w:ascii="Arial" w:eastAsia="Times New Roman" w:hAnsi="Arial" w:cs="Times New Roman"/>
      <w:sz w:val="24"/>
      <w:szCs w:val="20"/>
      <w:lang w:val="es-ES" w:eastAsia="es-ES"/>
    </w:rPr>
  </w:style>
  <w:style w:type="table" w:styleId="Tablaconcuadrcula">
    <w:name w:val="Table Grid"/>
    <w:basedOn w:val="Tablanormal"/>
    <w:uiPriority w:val="59"/>
    <w:rsid w:val="002F3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3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CE"/>
  </w:style>
  <w:style w:type="paragraph" w:styleId="Piedepgina">
    <w:name w:val="footer"/>
    <w:basedOn w:val="Normal"/>
    <w:link w:val="PiedepginaCar"/>
    <w:uiPriority w:val="99"/>
    <w:unhideWhenUsed/>
    <w:rsid w:val="00243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CE"/>
  </w:style>
  <w:style w:type="paragraph" w:styleId="Textodeglobo">
    <w:name w:val="Balloon Text"/>
    <w:basedOn w:val="Normal"/>
    <w:link w:val="TextodegloboCar"/>
    <w:uiPriority w:val="99"/>
    <w:semiHidden/>
    <w:unhideWhenUsed/>
    <w:rsid w:val="00413C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3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13</cp:revision>
  <cp:lastPrinted>2018-10-09T16:46:00Z</cp:lastPrinted>
  <dcterms:created xsi:type="dcterms:W3CDTF">2018-09-10T18:28:00Z</dcterms:created>
  <dcterms:modified xsi:type="dcterms:W3CDTF">2018-10-09T16:46:00Z</dcterms:modified>
</cp:coreProperties>
</file>