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41" w:rsidRPr="002B752D" w:rsidRDefault="00AA2D7D" w:rsidP="00322439">
      <w:pPr>
        <w:pStyle w:val="Textoindependiente"/>
        <w:jc w:val="center"/>
        <w:rPr>
          <w:rFonts w:cs="Arial"/>
          <w:b/>
          <w:bCs/>
          <w:sz w:val="28"/>
          <w:szCs w:val="28"/>
        </w:rPr>
      </w:pPr>
      <w:r>
        <w:rPr>
          <w:rFonts w:cs="Arial"/>
          <w:b/>
          <w:bCs/>
          <w:sz w:val="28"/>
          <w:szCs w:val="28"/>
        </w:rPr>
        <w:t xml:space="preserve">ANEXO </w:t>
      </w:r>
      <w:r w:rsidR="00D23F9C">
        <w:rPr>
          <w:rFonts w:cs="Arial"/>
          <w:b/>
          <w:bCs/>
          <w:sz w:val="28"/>
          <w:szCs w:val="28"/>
        </w:rPr>
        <w:t xml:space="preserve">DE RESPUESTAS </w:t>
      </w:r>
      <w:r>
        <w:rPr>
          <w:rFonts w:cs="Arial"/>
          <w:b/>
          <w:bCs/>
          <w:sz w:val="28"/>
          <w:szCs w:val="28"/>
        </w:rPr>
        <w:t>“</w:t>
      </w:r>
      <w:r w:rsidR="00ED4844">
        <w:rPr>
          <w:rFonts w:cs="Arial"/>
          <w:b/>
          <w:bCs/>
          <w:sz w:val="28"/>
          <w:szCs w:val="28"/>
        </w:rPr>
        <w:t>G</w:t>
      </w:r>
      <w:r w:rsidR="00607F9C" w:rsidRPr="002B752D">
        <w:rPr>
          <w:rFonts w:cs="Arial"/>
          <w:b/>
          <w:bCs/>
          <w:sz w:val="28"/>
          <w:szCs w:val="28"/>
        </w:rPr>
        <w:t>”</w:t>
      </w:r>
    </w:p>
    <w:p w:rsidR="0035788F" w:rsidRDefault="0035788F" w:rsidP="001D5815">
      <w:pPr>
        <w:pStyle w:val="Textoindependiente"/>
        <w:tabs>
          <w:tab w:val="left" w:pos="4830"/>
          <w:tab w:val="left" w:pos="5415"/>
        </w:tabs>
        <w:jc w:val="left"/>
        <w:rPr>
          <w:rFonts w:ascii="Frutiger-Light" w:hAnsi="Frutiger-Light"/>
          <w:b/>
          <w:bCs/>
          <w:sz w:val="21"/>
          <w:szCs w:val="21"/>
        </w:rPr>
      </w:pPr>
    </w:p>
    <w:p w:rsidR="0035788F" w:rsidRPr="0035788F" w:rsidRDefault="0035788F" w:rsidP="00322439">
      <w:pPr>
        <w:pStyle w:val="Textoindependiente"/>
        <w:jc w:val="center"/>
        <w:rPr>
          <w:rFonts w:cs="Arial"/>
          <w:b/>
          <w:bCs/>
          <w:szCs w:val="24"/>
        </w:rPr>
      </w:pPr>
      <w:r>
        <w:rPr>
          <w:rFonts w:cs="Arial"/>
          <w:b/>
          <w:bCs/>
          <w:szCs w:val="24"/>
        </w:rPr>
        <w:t>C</w:t>
      </w:r>
      <w:r w:rsidRPr="0035788F">
        <w:rPr>
          <w:rFonts w:cs="Arial"/>
          <w:b/>
          <w:bCs/>
          <w:szCs w:val="24"/>
        </w:rPr>
        <w:t>ONSEJO ESTATAL PARA EL FOMENTO DEP</w:t>
      </w:r>
      <w:r w:rsidR="00742502">
        <w:rPr>
          <w:rFonts w:cs="Arial"/>
          <w:b/>
          <w:bCs/>
          <w:szCs w:val="24"/>
        </w:rPr>
        <w:t>O</w:t>
      </w:r>
      <w:r w:rsidRPr="0035788F">
        <w:rPr>
          <w:rFonts w:cs="Arial"/>
          <w:b/>
          <w:bCs/>
          <w:szCs w:val="24"/>
        </w:rPr>
        <w:t>RTIVO (CODE).</w:t>
      </w:r>
    </w:p>
    <w:p w:rsidR="0025733F" w:rsidRPr="0035788F" w:rsidRDefault="00742502" w:rsidP="00322439">
      <w:pPr>
        <w:pStyle w:val="Textoindependiente"/>
        <w:jc w:val="center"/>
        <w:rPr>
          <w:rFonts w:cs="Arial"/>
          <w:b/>
          <w:szCs w:val="24"/>
        </w:rPr>
      </w:pPr>
      <w:r w:rsidRPr="009F1A99">
        <w:rPr>
          <w:rFonts w:cs="Arial"/>
          <w:b/>
          <w:bCs/>
          <w:szCs w:val="24"/>
        </w:rPr>
        <w:t xml:space="preserve">Auditoria </w:t>
      </w:r>
      <w:r>
        <w:rPr>
          <w:b/>
          <w:szCs w:val="24"/>
        </w:rPr>
        <w:t>d</w:t>
      </w:r>
      <w:r w:rsidRPr="0035788F">
        <w:rPr>
          <w:b/>
          <w:szCs w:val="24"/>
        </w:rPr>
        <w:t>el</w:t>
      </w:r>
      <w:r w:rsidR="0035788F">
        <w:rPr>
          <w:b/>
          <w:szCs w:val="24"/>
        </w:rPr>
        <w:t xml:space="preserve"> 1º</w:t>
      </w:r>
      <w:r w:rsidR="0035788F" w:rsidRPr="0035788F">
        <w:rPr>
          <w:b/>
          <w:szCs w:val="24"/>
        </w:rPr>
        <w:t xml:space="preserve"> de Enero al 31 de</w:t>
      </w:r>
      <w:r w:rsidR="000309E3">
        <w:rPr>
          <w:b/>
          <w:szCs w:val="24"/>
        </w:rPr>
        <w:t xml:space="preserve"> Diciembre de 2016, y del 1º de</w:t>
      </w:r>
      <w:r w:rsidR="0035788F" w:rsidRPr="0035788F">
        <w:rPr>
          <w:b/>
          <w:szCs w:val="24"/>
        </w:rPr>
        <w:t xml:space="preserve"> Enero al 30 de Junio </w:t>
      </w:r>
      <w:r w:rsidR="000309E3">
        <w:rPr>
          <w:b/>
          <w:szCs w:val="24"/>
        </w:rPr>
        <w:t>de</w:t>
      </w:r>
      <w:r w:rsidR="0035788F" w:rsidRPr="0035788F">
        <w:rPr>
          <w:b/>
          <w:szCs w:val="24"/>
        </w:rPr>
        <w:t xml:space="preserve"> 2017</w:t>
      </w:r>
      <w:r w:rsidR="0025733F" w:rsidRPr="0035788F">
        <w:rPr>
          <w:rFonts w:cs="Arial"/>
          <w:b/>
          <w:szCs w:val="24"/>
        </w:rPr>
        <w:t>.</w:t>
      </w:r>
    </w:p>
    <w:p w:rsidR="0035788F" w:rsidRDefault="0035788F" w:rsidP="00322439">
      <w:pPr>
        <w:pStyle w:val="Textoindependiente"/>
        <w:jc w:val="center"/>
        <w:rPr>
          <w:rFonts w:cs="Arial"/>
          <w:b/>
          <w:sz w:val="22"/>
          <w:szCs w:val="22"/>
        </w:rPr>
      </w:pPr>
    </w:p>
    <w:p w:rsidR="00D66841" w:rsidRPr="0035788F" w:rsidRDefault="00ED4844" w:rsidP="0035788F">
      <w:pPr>
        <w:pStyle w:val="Textoindependiente"/>
        <w:jc w:val="right"/>
        <w:rPr>
          <w:rFonts w:cs="Arial"/>
          <w:b/>
          <w:sz w:val="22"/>
          <w:szCs w:val="22"/>
        </w:rPr>
      </w:pPr>
      <w:r w:rsidRPr="0035788F">
        <w:rPr>
          <w:rFonts w:cs="Arial"/>
          <w:b/>
          <w:sz w:val="22"/>
          <w:szCs w:val="22"/>
        </w:rPr>
        <w:t>Observación</w:t>
      </w:r>
      <w:r w:rsidR="00D66841" w:rsidRPr="0035788F">
        <w:rPr>
          <w:rFonts w:cs="Arial"/>
          <w:b/>
          <w:sz w:val="22"/>
          <w:szCs w:val="22"/>
        </w:rPr>
        <w:t xml:space="preserve"> No. </w:t>
      </w:r>
      <w:r>
        <w:rPr>
          <w:rFonts w:cs="Arial"/>
          <w:b/>
          <w:sz w:val="22"/>
          <w:szCs w:val="22"/>
        </w:rPr>
        <w:t xml:space="preserve"> 3.7</w:t>
      </w:r>
      <w:r w:rsidR="00AA2D7D">
        <w:rPr>
          <w:rFonts w:cs="Arial"/>
          <w:b/>
          <w:sz w:val="22"/>
          <w:szCs w:val="22"/>
        </w:rPr>
        <w:t xml:space="preserve">.- </w:t>
      </w:r>
      <w:r w:rsidR="009860CE" w:rsidRPr="0035788F">
        <w:rPr>
          <w:rFonts w:cs="Arial"/>
          <w:b/>
          <w:sz w:val="22"/>
          <w:szCs w:val="22"/>
        </w:rPr>
        <w:t>P</w:t>
      </w:r>
      <w:r w:rsidR="00276203">
        <w:rPr>
          <w:rFonts w:cs="Arial"/>
          <w:b/>
          <w:sz w:val="22"/>
          <w:szCs w:val="22"/>
        </w:rPr>
        <w:t xml:space="preserve">ágina </w:t>
      </w:r>
      <w:r>
        <w:rPr>
          <w:rFonts w:cs="Arial"/>
          <w:b/>
          <w:sz w:val="22"/>
          <w:szCs w:val="22"/>
        </w:rPr>
        <w:t>13</w:t>
      </w:r>
      <w:r w:rsidR="006F16D3" w:rsidRPr="0035788F">
        <w:rPr>
          <w:rFonts w:cs="Arial"/>
          <w:b/>
          <w:sz w:val="22"/>
          <w:szCs w:val="22"/>
        </w:rPr>
        <w:t xml:space="preserve"> de </w:t>
      </w:r>
      <w:r w:rsidR="0035788F">
        <w:rPr>
          <w:rFonts w:cs="Arial"/>
          <w:b/>
          <w:sz w:val="22"/>
          <w:szCs w:val="22"/>
        </w:rPr>
        <w:t>14</w:t>
      </w:r>
      <w:r w:rsidR="00D66841" w:rsidRPr="0035788F">
        <w:rPr>
          <w:rFonts w:cs="Arial"/>
          <w:b/>
          <w:sz w:val="22"/>
          <w:szCs w:val="22"/>
        </w:rPr>
        <w:t>.</w:t>
      </w:r>
    </w:p>
    <w:p w:rsidR="00ED4844" w:rsidRPr="00ED4844" w:rsidRDefault="00ED4844" w:rsidP="00ED4844">
      <w:pPr>
        <w:jc w:val="both"/>
        <w:rPr>
          <w:rFonts w:ascii="Arial" w:hAnsi="Arial" w:cs="Arial"/>
          <w:b/>
        </w:rPr>
      </w:pPr>
      <w:r w:rsidRPr="00ED4844">
        <w:rPr>
          <w:rFonts w:ascii="Arial" w:hAnsi="Arial" w:cs="Arial"/>
          <w:b/>
        </w:rPr>
        <w:t>3</w:t>
      </w:r>
      <w:r>
        <w:rPr>
          <w:rFonts w:ascii="Arial" w:hAnsi="Arial" w:cs="Arial"/>
          <w:b/>
        </w:rPr>
        <w:t>.0.- EGRESOS.</w:t>
      </w:r>
    </w:p>
    <w:p w:rsidR="00ED4844" w:rsidRPr="00ED4844" w:rsidRDefault="00ED4844" w:rsidP="00ED4844">
      <w:pPr>
        <w:jc w:val="both"/>
        <w:rPr>
          <w:rFonts w:ascii="Arial" w:hAnsi="Arial" w:cs="Arial"/>
          <w:b/>
        </w:rPr>
      </w:pPr>
      <w:r w:rsidRPr="00ED4844">
        <w:rPr>
          <w:rFonts w:ascii="Arial" w:hAnsi="Arial" w:cs="Arial"/>
          <w:b/>
        </w:rPr>
        <w:t xml:space="preserve">PENAS, MULTAS, ACCESORIOS Y ACTUALIZACIONES. </w:t>
      </w:r>
    </w:p>
    <w:p w:rsidR="005E0813" w:rsidRDefault="005E0813" w:rsidP="005E0813">
      <w:pPr>
        <w:tabs>
          <w:tab w:val="left" w:pos="4965"/>
        </w:tabs>
        <w:spacing w:after="0" w:line="240" w:lineRule="auto"/>
        <w:jc w:val="both"/>
        <w:rPr>
          <w:rFonts w:ascii="Century Gothic" w:hAnsi="Century Gothic" w:cs="Tahoma"/>
        </w:rPr>
      </w:pPr>
      <w:r>
        <w:rPr>
          <w:rFonts w:ascii="Century Gothic" w:hAnsi="Century Gothic" w:cs="Tahoma"/>
        </w:rPr>
        <w:tab/>
      </w:r>
    </w:p>
    <w:p w:rsidR="00ED4844" w:rsidRPr="00DF3458" w:rsidRDefault="00ED4844" w:rsidP="00D23F9C">
      <w:pPr>
        <w:rPr>
          <w:rFonts w:ascii="Century Gothic" w:hAnsi="Century Gothic"/>
          <w:b/>
        </w:rPr>
      </w:pPr>
      <w:r w:rsidRPr="00DF3458">
        <w:rPr>
          <w:rFonts w:ascii="Century Gothic" w:hAnsi="Century Gothic"/>
          <w:b/>
        </w:rPr>
        <w:t>RESPUESTA 3.7</w:t>
      </w:r>
    </w:p>
    <w:p w:rsidR="00ED4844" w:rsidRPr="00ED4844" w:rsidRDefault="00ED4844" w:rsidP="00ED4844">
      <w:pPr>
        <w:jc w:val="both"/>
        <w:rPr>
          <w:rFonts w:ascii="Arial" w:hAnsi="Arial" w:cs="Arial"/>
          <w:lang w:val="es-ES"/>
        </w:rPr>
      </w:pPr>
      <w:r w:rsidRPr="00ED4844">
        <w:rPr>
          <w:rFonts w:ascii="Arial" w:hAnsi="Arial" w:cs="Arial"/>
          <w:lang w:val="es-ES"/>
        </w:rPr>
        <w:t>Como hemos explicado en las respuestas que anteceden relativas a la falta de pagos oportunos de las diversas obligaciones determinadas al CODE por las autoridades competentes, su origen fundamentalmente atiende a temas de atención y respuesta de eventos no programados y en consecuencia, no presupuestados, como es e</w:t>
      </w:r>
      <w:r w:rsidR="000309E3">
        <w:rPr>
          <w:rFonts w:ascii="Arial" w:hAnsi="Arial" w:cs="Arial"/>
          <w:lang w:val="es-ES"/>
        </w:rPr>
        <w:t xml:space="preserve">l caso de Olimpiada Nacional y </w:t>
      </w:r>
      <w:bookmarkStart w:id="0" w:name="_GoBack"/>
      <w:bookmarkEnd w:id="0"/>
      <w:r w:rsidRPr="00ED4844">
        <w:rPr>
          <w:rFonts w:ascii="Arial" w:hAnsi="Arial" w:cs="Arial"/>
          <w:lang w:val="es-ES"/>
        </w:rPr>
        <w:t>Juegos Escolares nivel Primaria y Secundaria de ejercicio 2017.</w:t>
      </w:r>
    </w:p>
    <w:p w:rsidR="00ED4844" w:rsidRPr="00ED4844" w:rsidRDefault="00ED4844" w:rsidP="00ED4844">
      <w:pPr>
        <w:jc w:val="both"/>
        <w:rPr>
          <w:rFonts w:ascii="Arial" w:hAnsi="Arial" w:cs="Arial"/>
          <w:lang w:val="es-ES"/>
        </w:rPr>
      </w:pPr>
      <w:r w:rsidRPr="00ED4844">
        <w:rPr>
          <w:rFonts w:ascii="Arial" w:hAnsi="Arial" w:cs="Arial"/>
          <w:lang w:val="es-ES"/>
        </w:rPr>
        <w:t>Para el caso que nos ocupa, es necesario hacer hincapié en la resolución y gestión que dio origen a los saldos enunciados:</w:t>
      </w:r>
    </w:p>
    <w:p w:rsidR="00ED4844" w:rsidRPr="00ED4844" w:rsidRDefault="00ED4844" w:rsidP="00ED4844">
      <w:pPr>
        <w:jc w:val="both"/>
        <w:rPr>
          <w:rFonts w:ascii="Arial" w:hAnsi="Arial" w:cs="Arial"/>
          <w:lang w:val="es-ES"/>
        </w:rPr>
      </w:pPr>
      <w:r w:rsidRPr="00ED4844">
        <w:rPr>
          <w:rFonts w:ascii="Arial" w:hAnsi="Arial" w:cs="Arial"/>
          <w:lang w:val="es-ES"/>
        </w:rPr>
        <w:t>Para el caso de IPEJAL y SEDAR, la situación financiera de éste organismo hacía inviable su cumplimento de pago por la falta de liquidez en el momento que se requería, sin embargo a la fecha, como m</w:t>
      </w:r>
      <w:r w:rsidR="000309E3">
        <w:rPr>
          <w:rFonts w:ascii="Arial" w:hAnsi="Arial" w:cs="Arial"/>
          <w:lang w:val="es-ES"/>
        </w:rPr>
        <w:t xml:space="preserve">edida preventiva y de control, </w:t>
      </w:r>
      <w:r w:rsidRPr="00ED4844">
        <w:rPr>
          <w:rFonts w:ascii="Arial" w:hAnsi="Arial" w:cs="Arial"/>
          <w:lang w:val="es-ES"/>
        </w:rPr>
        <w:t>las obligaciones de ambos conceptos se cubren con regularidad y puntualidad.</w:t>
      </w:r>
    </w:p>
    <w:p w:rsidR="00ED4844" w:rsidRPr="00ED4844" w:rsidRDefault="00ED4844" w:rsidP="00ED4844">
      <w:pPr>
        <w:jc w:val="both"/>
        <w:rPr>
          <w:rFonts w:ascii="Arial" w:hAnsi="Arial" w:cs="Arial"/>
          <w:lang w:val="es-ES"/>
        </w:rPr>
      </w:pPr>
      <w:r w:rsidRPr="00ED4844">
        <w:rPr>
          <w:rFonts w:ascii="Arial" w:hAnsi="Arial" w:cs="Arial"/>
          <w:lang w:val="es-ES"/>
        </w:rPr>
        <w:t xml:space="preserve">En lo que refiere a el </w:t>
      </w:r>
      <w:r w:rsidRPr="00ED4844">
        <w:rPr>
          <w:rFonts w:ascii="Arial" w:hAnsi="Arial" w:cs="Arial"/>
          <w:b/>
          <w:lang w:val="es-ES"/>
        </w:rPr>
        <w:t>SAT</w:t>
      </w:r>
      <w:r w:rsidR="000309E3">
        <w:rPr>
          <w:rFonts w:ascii="Arial" w:hAnsi="Arial" w:cs="Arial"/>
          <w:lang w:val="es-ES"/>
        </w:rPr>
        <w:t>,</w:t>
      </w:r>
      <w:r w:rsidRPr="00ED4844">
        <w:rPr>
          <w:rFonts w:ascii="Arial" w:hAnsi="Arial" w:cs="Arial"/>
          <w:lang w:val="es-ES"/>
        </w:rPr>
        <w:t xml:space="preserve"> la multas y recargos fueron liquidados con lo</w:t>
      </w:r>
      <w:r w:rsidR="003551BD">
        <w:rPr>
          <w:rFonts w:ascii="Arial" w:hAnsi="Arial" w:cs="Arial"/>
          <w:lang w:val="es-ES"/>
        </w:rPr>
        <w:t>s</w:t>
      </w:r>
      <w:r w:rsidRPr="00ED4844">
        <w:rPr>
          <w:rFonts w:ascii="Arial" w:hAnsi="Arial" w:cs="Arial"/>
          <w:lang w:val="es-ES"/>
        </w:rPr>
        <w:t xml:space="preserve"> recursos gestionados y obtenidos de la SEPAF, cabe mencionar que el otorgamiento de dicho recurso se etiqueto para este concepto en específico, incluyendo por supuesto, multas y recargos actualizados a la fecha de pago, por lo que no se </w:t>
      </w:r>
      <w:r w:rsidR="003551BD" w:rsidRPr="00ED4844">
        <w:rPr>
          <w:rFonts w:ascii="Arial" w:hAnsi="Arial" w:cs="Arial"/>
          <w:lang w:val="es-ES"/>
        </w:rPr>
        <w:t>gener</w:t>
      </w:r>
      <w:r w:rsidR="003551BD">
        <w:rPr>
          <w:rFonts w:ascii="Arial" w:hAnsi="Arial" w:cs="Arial"/>
          <w:lang w:val="es-ES"/>
        </w:rPr>
        <w:t>ó</w:t>
      </w:r>
      <w:r w:rsidRPr="00ED4844">
        <w:rPr>
          <w:rFonts w:ascii="Arial" w:hAnsi="Arial" w:cs="Arial"/>
          <w:lang w:val="es-ES"/>
        </w:rPr>
        <w:t xml:space="preserve"> afectación a la liquidez del organismo. Como respaldo a o aquí asentado en el Anexo 3.7 se incluye:  </w:t>
      </w:r>
    </w:p>
    <w:p w:rsidR="00ED4844" w:rsidRPr="00ED4844" w:rsidRDefault="00ED4844" w:rsidP="00ED4844">
      <w:pPr>
        <w:pStyle w:val="Prrafodelista"/>
        <w:numPr>
          <w:ilvl w:val="0"/>
          <w:numId w:val="20"/>
        </w:numPr>
        <w:overflowPunct w:val="0"/>
        <w:autoSpaceDE w:val="0"/>
        <w:autoSpaceDN w:val="0"/>
        <w:adjustRightInd w:val="0"/>
        <w:spacing w:after="0" w:line="240" w:lineRule="auto"/>
        <w:jc w:val="both"/>
        <w:rPr>
          <w:rFonts w:ascii="Arial" w:hAnsi="Arial" w:cs="Arial"/>
        </w:rPr>
      </w:pPr>
      <w:r w:rsidRPr="00ED4844">
        <w:rPr>
          <w:rFonts w:ascii="Arial" w:hAnsi="Arial" w:cs="Arial"/>
          <w:lang w:val="es-ES"/>
        </w:rPr>
        <w:t>Oficio número de 022 en el que CODE solicita a SEPAF la ministración del recurso</w:t>
      </w:r>
    </w:p>
    <w:p w:rsidR="00ED4844" w:rsidRPr="00ED4844" w:rsidRDefault="00ED4844" w:rsidP="00ED4844">
      <w:pPr>
        <w:pStyle w:val="Prrafodelista"/>
        <w:numPr>
          <w:ilvl w:val="0"/>
          <w:numId w:val="20"/>
        </w:numPr>
        <w:overflowPunct w:val="0"/>
        <w:autoSpaceDE w:val="0"/>
        <w:autoSpaceDN w:val="0"/>
        <w:adjustRightInd w:val="0"/>
        <w:spacing w:after="0" w:line="240" w:lineRule="auto"/>
        <w:jc w:val="both"/>
        <w:rPr>
          <w:rFonts w:ascii="Arial" w:hAnsi="Arial" w:cs="Arial"/>
        </w:rPr>
      </w:pPr>
      <w:r w:rsidRPr="00ED4844">
        <w:rPr>
          <w:rFonts w:ascii="Arial" w:hAnsi="Arial" w:cs="Arial"/>
          <w:lang w:val="es-ES"/>
        </w:rPr>
        <w:t>CFDI que ampara el ingreso transferido por la SEPAF.</w:t>
      </w:r>
    </w:p>
    <w:p w:rsidR="00ED4844" w:rsidRPr="00ED4844" w:rsidRDefault="00ED4844" w:rsidP="00ED4844">
      <w:pPr>
        <w:pStyle w:val="Prrafodelista"/>
        <w:numPr>
          <w:ilvl w:val="0"/>
          <w:numId w:val="20"/>
        </w:numPr>
        <w:overflowPunct w:val="0"/>
        <w:autoSpaceDE w:val="0"/>
        <w:autoSpaceDN w:val="0"/>
        <w:adjustRightInd w:val="0"/>
        <w:spacing w:after="0" w:line="240" w:lineRule="auto"/>
        <w:jc w:val="both"/>
        <w:rPr>
          <w:rFonts w:ascii="Arial" w:hAnsi="Arial" w:cs="Arial"/>
        </w:rPr>
      </w:pPr>
      <w:r w:rsidRPr="00ED4844">
        <w:rPr>
          <w:rFonts w:ascii="Arial" w:hAnsi="Arial" w:cs="Arial"/>
          <w:lang w:val="es-ES"/>
        </w:rPr>
        <w:t>movimientos contables de diario donde se identifica en la contabilidad el recurso recibido.</w:t>
      </w:r>
    </w:p>
    <w:p w:rsidR="00ED4844" w:rsidRPr="00ED4844" w:rsidRDefault="00ED4844" w:rsidP="00ED4844">
      <w:pPr>
        <w:pStyle w:val="Prrafodelista"/>
        <w:numPr>
          <w:ilvl w:val="0"/>
          <w:numId w:val="20"/>
        </w:numPr>
        <w:overflowPunct w:val="0"/>
        <w:autoSpaceDE w:val="0"/>
        <w:autoSpaceDN w:val="0"/>
        <w:adjustRightInd w:val="0"/>
        <w:spacing w:after="0" w:line="240" w:lineRule="auto"/>
        <w:jc w:val="both"/>
        <w:rPr>
          <w:rFonts w:ascii="Arial" w:hAnsi="Arial" w:cs="Arial"/>
        </w:rPr>
      </w:pPr>
      <w:r w:rsidRPr="00ED4844">
        <w:rPr>
          <w:rFonts w:ascii="Arial" w:hAnsi="Arial" w:cs="Arial"/>
          <w:lang w:val="es-ES"/>
        </w:rPr>
        <w:t xml:space="preserve">copia de la transferencia bancaria de la SEPAF al </w:t>
      </w:r>
      <w:proofErr w:type="spellStart"/>
      <w:r w:rsidRPr="00ED4844">
        <w:rPr>
          <w:rFonts w:ascii="Arial" w:hAnsi="Arial" w:cs="Arial"/>
          <w:lang w:val="es-ES"/>
        </w:rPr>
        <w:t>Code</w:t>
      </w:r>
      <w:proofErr w:type="spellEnd"/>
      <w:r w:rsidRPr="00ED4844">
        <w:rPr>
          <w:rFonts w:ascii="Arial" w:hAnsi="Arial" w:cs="Arial"/>
          <w:lang w:val="es-ES"/>
        </w:rPr>
        <w:t xml:space="preserve"> </w:t>
      </w:r>
      <w:r w:rsidR="003551BD" w:rsidRPr="00ED4844">
        <w:rPr>
          <w:rFonts w:ascii="Arial" w:hAnsi="Arial" w:cs="Arial"/>
          <w:lang w:val="es-ES"/>
        </w:rPr>
        <w:t>Jalisco.</w:t>
      </w:r>
    </w:p>
    <w:p w:rsidR="00ED4844" w:rsidRPr="00ED4844" w:rsidRDefault="00ED4844" w:rsidP="00ED4844">
      <w:pPr>
        <w:pStyle w:val="Prrafodelista"/>
        <w:overflowPunct w:val="0"/>
        <w:autoSpaceDE w:val="0"/>
        <w:autoSpaceDN w:val="0"/>
        <w:adjustRightInd w:val="0"/>
        <w:spacing w:after="0" w:line="240" w:lineRule="auto"/>
        <w:ind w:left="770"/>
        <w:jc w:val="both"/>
        <w:rPr>
          <w:rFonts w:ascii="Arial" w:hAnsi="Arial" w:cs="Arial"/>
        </w:rPr>
      </w:pPr>
    </w:p>
    <w:p w:rsidR="00ED4844" w:rsidRPr="00ED4844" w:rsidRDefault="00ED4844" w:rsidP="00ED4844">
      <w:pPr>
        <w:jc w:val="both"/>
        <w:rPr>
          <w:rFonts w:ascii="Arial" w:hAnsi="Arial" w:cs="Arial"/>
        </w:rPr>
      </w:pPr>
      <w:r>
        <w:rPr>
          <w:rFonts w:ascii="Arial" w:hAnsi="Arial" w:cs="Arial"/>
        </w:rPr>
        <w:t xml:space="preserve">En lo </w:t>
      </w:r>
      <w:r w:rsidRPr="00ED4844">
        <w:rPr>
          <w:rFonts w:ascii="Arial" w:hAnsi="Arial" w:cs="Arial"/>
        </w:rPr>
        <w:t xml:space="preserve"> que refiere a la multas y recargo del </w:t>
      </w:r>
      <w:r w:rsidRPr="00ED4844">
        <w:rPr>
          <w:rFonts w:ascii="Arial" w:hAnsi="Arial" w:cs="Arial"/>
          <w:b/>
        </w:rPr>
        <w:t>IMSS</w:t>
      </w:r>
      <w:r w:rsidRPr="00ED4844">
        <w:rPr>
          <w:rFonts w:ascii="Arial" w:hAnsi="Arial" w:cs="Arial"/>
        </w:rPr>
        <w:t xml:space="preserve">, estos fueron resultado del dictamen elaborado por los despachos autorizados por esa institución,  la que determino que debían pagarse cuotas que en su momento no se tenían contempladas para el personal de honorarios, situación que no fue determinada sino hasta el siguiente ejercicio fiscal, lo cual no previene la disponibilidad de recursos para tales efectos, porque insistimos, fue derivado de la aplicación e interpretación de un criterio del despacho auditor. Se adjunta </w:t>
      </w:r>
      <w:r w:rsidRPr="00ED4844">
        <w:rPr>
          <w:rFonts w:ascii="Arial" w:hAnsi="Arial" w:cs="Arial"/>
          <w:lang w:val="es-ES"/>
        </w:rPr>
        <w:t xml:space="preserve">en el Anexo 3.7 lo siguiente:  </w:t>
      </w:r>
    </w:p>
    <w:p w:rsidR="00ED4844" w:rsidRPr="00ED4844" w:rsidRDefault="00ED4844" w:rsidP="00ED4844">
      <w:pPr>
        <w:pStyle w:val="Prrafodelista"/>
        <w:numPr>
          <w:ilvl w:val="0"/>
          <w:numId w:val="21"/>
        </w:numPr>
        <w:jc w:val="both"/>
        <w:rPr>
          <w:rFonts w:ascii="Arial" w:hAnsi="Arial" w:cs="Arial"/>
          <w:lang w:val="es-ES"/>
        </w:rPr>
      </w:pPr>
      <w:r w:rsidRPr="00ED4844">
        <w:rPr>
          <w:rFonts w:ascii="Arial" w:hAnsi="Arial" w:cs="Arial"/>
          <w:lang w:val="es-ES"/>
        </w:rPr>
        <w:t>Dictamen 2015 y su anexo a pagar en 2016.</w:t>
      </w:r>
    </w:p>
    <w:p w:rsidR="00ED4844" w:rsidRPr="00ED4844" w:rsidRDefault="00ED4844" w:rsidP="00ED4844">
      <w:pPr>
        <w:pStyle w:val="Prrafodelista"/>
        <w:numPr>
          <w:ilvl w:val="0"/>
          <w:numId w:val="21"/>
        </w:numPr>
        <w:jc w:val="both"/>
        <w:rPr>
          <w:rFonts w:ascii="Arial" w:hAnsi="Arial" w:cs="Arial"/>
          <w:lang w:val="es-ES"/>
        </w:rPr>
      </w:pPr>
      <w:r w:rsidRPr="00ED4844">
        <w:rPr>
          <w:rFonts w:ascii="Arial" w:hAnsi="Arial" w:cs="Arial"/>
          <w:lang w:val="es-ES"/>
        </w:rPr>
        <w:t>Dictamen 2016 y su anexo a pagar en 2017.</w:t>
      </w:r>
    </w:p>
    <w:p w:rsidR="007E6D6B" w:rsidRPr="00ED4844" w:rsidRDefault="007E6D6B" w:rsidP="007E6D6B">
      <w:pPr>
        <w:pStyle w:val="Prrafodelista"/>
        <w:numPr>
          <w:ilvl w:val="0"/>
          <w:numId w:val="19"/>
        </w:numPr>
        <w:ind w:left="770"/>
        <w:jc w:val="both"/>
        <w:rPr>
          <w:rFonts w:ascii="Arial" w:hAnsi="Arial" w:cs="Arial"/>
        </w:rPr>
      </w:pPr>
      <w:r w:rsidRPr="00ED4844">
        <w:rPr>
          <w:rFonts w:ascii="Arial" w:hAnsi="Arial" w:cs="Arial"/>
        </w:rPr>
        <w:t xml:space="preserve">  de los servicios contratados</w:t>
      </w:r>
    </w:p>
    <w:sectPr w:rsidR="007E6D6B" w:rsidRPr="00ED4844" w:rsidSect="00D23F9C">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C8A" w:rsidRDefault="00920C8A" w:rsidP="00B070C9">
      <w:pPr>
        <w:spacing w:after="0" w:line="240" w:lineRule="auto"/>
      </w:pPr>
      <w:r>
        <w:separator/>
      </w:r>
    </w:p>
  </w:endnote>
  <w:endnote w:type="continuationSeparator" w:id="0">
    <w:p w:rsidR="00920C8A" w:rsidRDefault="00920C8A" w:rsidP="00B0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C8A" w:rsidRDefault="00920C8A" w:rsidP="00B070C9">
      <w:pPr>
        <w:spacing w:after="0" w:line="240" w:lineRule="auto"/>
      </w:pPr>
      <w:r>
        <w:separator/>
      </w:r>
    </w:p>
  </w:footnote>
  <w:footnote w:type="continuationSeparator" w:id="0">
    <w:p w:rsidR="00920C8A" w:rsidRDefault="00920C8A" w:rsidP="00B07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C9" w:rsidRDefault="00B070C9">
    <w:pPr>
      <w:pStyle w:val="Encabezado"/>
      <w:jc w:val="right"/>
    </w:pPr>
  </w:p>
  <w:p w:rsidR="00B070C9" w:rsidRDefault="00B070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4A4"/>
    <w:multiLevelType w:val="hybridMultilevel"/>
    <w:tmpl w:val="F0BCE8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B377824"/>
    <w:multiLevelType w:val="hybridMultilevel"/>
    <w:tmpl w:val="9AC87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175630"/>
    <w:multiLevelType w:val="hybridMultilevel"/>
    <w:tmpl w:val="7E8C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5A755C"/>
    <w:multiLevelType w:val="hybridMultilevel"/>
    <w:tmpl w:val="05061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604547"/>
    <w:multiLevelType w:val="hybridMultilevel"/>
    <w:tmpl w:val="4E6AC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472DCE"/>
    <w:multiLevelType w:val="hybridMultilevel"/>
    <w:tmpl w:val="4574C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425760"/>
    <w:multiLevelType w:val="hybridMultilevel"/>
    <w:tmpl w:val="838E5162"/>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nsid w:val="35176225"/>
    <w:multiLevelType w:val="hybridMultilevel"/>
    <w:tmpl w:val="DC0A0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95669E9"/>
    <w:multiLevelType w:val="hybridMultilevel"/>
    <w:tmpl w:val="BC7421D6"/>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1">
    <w:nsid w:val="43334110"/>
    <w:multiLevelType w:val="hybridMultilevel"/>
    <w:tmpl w:val="66427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84540AE"/>
    <w:multiLevelType w:val="hybridMultilevel"/>
    <w:tmpl w:val="36E8DFA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5191786F"/>
    <w:multiLevelType w:val="hybridMultilevel"/>
    <w:tmpl w:val="3F88C1F2"/>
    <w:lvl w:ilvl="0" w:tplc="FFFFFFFF">
      <w:start w:val="1"/>
      <w:numFmt w:val="lowerLetter"/>
      <w:lvlText w:val="%1)"/>
      <w:lvlJc w:val="left"/>
      <w:pPr>
        <w:ind w:left="1776" w:hanging="360"/>
      </w:pPr>
      <w:rPr>
        <w:rFonts w:ascii="Century Gothic" w:hAnsi="Century Gothic" w:hint="default"/>
        <w:sz w:val="22"/>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5E2F7A5B"/>
    <w:multiLevelType w:val="hybridMultilevel"/>
    <w:tmpl w:val="97A06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3D118B"/>
    <w:multiLevelType w:val="hybridMultilevel"/>
    <w:tmpl w:val="5A028E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406F40"/>
    <w:multiLevelType w:val="hybridMultilevel"/>
    <w:tmpl w:val="E7A08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F7B0D"/>
    <w:multiLevelType w:val="hybridMultilevel"/>
    <w:tmpl w:val="5A107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BF958E4"/>
    <w:multiLevelType w:val="hybridMultilevel"/>
    <w:tmpl w:val="C53C0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5"/>
  </w:num>
  <w:num w:numId="4">
    <w:abstractNumId w:val="18"/>
  </w:num>
  <w:num w:numId="5">
    <w:abstractNumId w:val="15"/>
  </w:num>
  <w:num w:numId="6">
    <w:abstractNumId w:val="10"/>
  </w:num>
  <w:num w:numId="7">
    <w:abstractNumId w:val="2"/>
  </w:num>
  <w:num w:numId="8">
    <w:abstractNumId w:val="16"/>
  </w:num>
  <w:num w:numId="9">
    <w:abstractNumId w:val="19"/>
  </w:num>
  <w:num w:numId="10">
    <w:abstractNumId w:val="3"/>
  </w:num>
  <w:num w:numId="11">
    <w:abstractNumId w:val="0"/>
  </w:num>
  <w:num w:numId="12">
    <w:abstractNumId w:val="12"/>
  </w:num>
  <w:num w:numId="13">
    <w:abstractNumId w:val="9"/>
  </w:num>
  <w:num w:numId="14">
    <w:abstractNumId w:val="1"/>
  </w:num>
  <w:num w:numId="15">
    <w:abstractNumId w:val="11"/>
  </w:num>
  <w:num w:numId="16">
    <w:abstractNumId w:val="7"/>
  </w:num>
  <w:num w:numId="17">
    <w:abstractNumId w:val="13"/>
  </w:num>
  <w:num w:numId="18">
    <w:abstractNumId w:val="6"/>
  </w:num>
  <w:num w:numId="19">
    <w:abstractNumId w:val="20"/>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19BA"/>
    <w:rsid w:val="000309E3"/>
    <w:rsid w:val="000432A8"/>
    <w:rsid w:val="00047693"/>
    <w:rsid w:val="00051F4B"/>
    <w:rsid w:val="0008029C"/>
    <w:rsid w:val="00112C8E"/>
    <w:rsid w:val="00167885"/>
    <w:rsid w:val="001D5815"/>
    <w:rsid w:val="002539C8"/>
    <w:rsid w:val="0025733F"/>
    <w:rsid w:val="0026313A"/>
    <w:rsid w:val="00276203"/>
    <w:rsid w:val="002B752D"/>
    <w:rsid w:val="002C4A8A"/>
    <w:rsid w:val="002C5E16"/>
    <w:rsid w:val="002D6395"/>
    <w:rsid w:val="00322439"/>
    <w:rsid w:val="00341FE4"/>
    <w:rsid w:val="003551BD"/>
    <w:rsid w:val="0035788F"/>
    <w:rsid w:val="00403B02"/>
    <w:rsid w:val="00410ED9"/>
    <w:rsid w:val="0048282E"/>
    <w:rsid w:val="004911C4"/>
    <w:rsid w:val="004A408F"/>
    <w:rsid w:val="004C2A65"/>
    <w:rsid w:val="005B3004"/>
    <w:rsid w:val="005E0813"/>
    <w:rsid w:val="00607F9C"/>
    <w:rsid w:val="00637D93"/>
    <w:rsid w:val="006F16D3"/>
    <w:rsid w:val="00703B9B"/>
    <w:rsid w:val="00742502"/>
    <w:rsid w:val="007605DB"/>
    <w:rsid w:val="007901D1"/>
    <w:rsid w:val="007E6D6B"/>
    <w:rsid w:val="0089168A"/>
    <w:rsid w:val="009119BA"/>
    <w:rsid w:val="009176AB"/>
    <w:rsid w:val="00920C8A"/>
    <w:rsid w:val="00934CD5"/>
    <w:rsid w:val="009860CE"/>
    <w:rsid w:val="009B6587"/>
    <w:rsid w:val="00A258DB"/>
    <w:rsid w:val="00A30DE7"/>
    <w:rsid w:val="00A32AE6"/>
    <w:rsid w:val="00A70B08"/>
    <w:rsid w:val="00A861BD"/>
    <w:rsid w:val="00AA2D7D"/>
    <w:rsid w:val="00B070C9"/>
    <w:rsid w:val="00CA6D6C"/>
    <w:rsid w:val="00D23F9C"/>
    <w:rsid w:val="00D66841"/>
    <w:rsid w:val="00DC5D8F"/>
    <w:rsid w:val="00E618B7"/>
    <w:rsid w:val="00EC21F3"/>
    <w:rsid w:val="00ED4844"/>
    <w:rsid w:val="00F02396"/>
    <w:rsid w:val="00F50580"/>
    <w:rsid w:val="00F81212"/>
    <w:rsid w:val="00F8213B"/>
    <w:rsid w:val="00F870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28C97-BD17-41BC-AB58-DF786C95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paragraph" w:styleId="Encabezado">
    <w:name w:val="header"/>
    <w:basedOn w:val="Normal"/>
    <w:link w:val="EncabezadoCar"/>
    <w:uiPriority w:val="99"/>
    <w:unhideWhenUsed/>
    <w:rsid w:val="00B0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9"/>
  </w:style>
  <w:style w:type="paragraph" w:styleId="Piedepgina">
    <w:name w:val="footer"/>
    <w:basedOn w:val="Normal"/>
    <w:link w:val="PiedepginaCar"/>
    <w:uiPriority w:val="99"/>
    <w:unhideWhenUsed/>
    <w:rsid w:val="00B0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0C9"/>
  </w:style>
  <w:style w:type="paragraph" w:styleId="Textodeglobo">
    <w:name w:val="Balloon Text"/>
    <w:basedOn w:val="Normal"/>
    <w:link w:val="TextodegloboCar"/>
    <w:uiPriority w:val="99"/>
    <w:semiHidden/>
    <w:unhideWhenUsed/>
    <w:rsid w:val="000309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0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3B6F-A4F6-4EAA-9D2A-07719B3D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Marquez Bobadilla</cp:lastModifiedBy>
  <cp:revision>43</cp:revision>
  <cp:lastPrinted>2018-11-14T18:35:00Z</cp:lastPrinted>
  <dcterms:created xsi:type="dcterms:W3CDTF">2014-05-22T01:10:00Z</dcterms:created>
  <dcterms:modified xsi:type="dcterms:W3CDTF">2018-11-14T18:36:00Z</dcterms:modified>
</cp:coreProperties>
</file>