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841" w:rsidRDefault="005B45A7" w:rsidP="00322439">
      <w:pPr>
        <w:pStyle w:val="Textoindependiente"/>
        <w:jc w:val="center"/>
        <w:rPr>
          <w:rFonts w:ascii="Frutiger-Light" w:hAnsi="Frutiger-Light"/>
          <w:b/>
          <w:bCs/>
          <w:sz w:val="28"/>
          <w:szCs w:val="28"/>
        </w:rPr>
      </w:pPr>
      <w:r>
        <w:rPr>
          <w:rFonts w:ascii="Frutiger-Light" w:hAnsi="Frutiger-Light"/>
          <w:b/>
          <w:bCs/>
          <w:sz w:val="28"/>
          <w:szCs w:val="28"/>
        </w:rPr>
        <w:t>ANEXO “M</w:t>
      </w:r>
      <w:r w:rsidR="00607F9C">
        <w:rPr>
          <w:rFonts w:ascii="Frutiger-Light" w:hAnsi="Frutiger-Light"/>
          <w:b/>
          <w:bCs/>
          <w:sz w:val="28"/>
          <w:szCs w:val="28"/>
        </w:rPr>
        <w:t>”</w:t>
      </w:r>
    </w:p>
    <w:p w:rsidR="00047693" w:rsidRDefault="00047693" w:rsidP="00322439">
      <w:pPr>
        <w:pStyle w:val="Textoindependiente"/>
        <w:jc w:val="center"/>
        <w:rPr>
          <w:rFonts w:ascii="Frutiger-Light" w:hAnsi="Frutiger-Light"/>
          <w:b/>
          <w:bCs/>
          <w:sz w:val="21"/>
          <w:szCs w:val="21"/>
        </w:rPr>
      </w:pPr>
    </w:p>
    <w:p w:rsidR="007901D1" w:rsidRDefault="007901D1" w:rsidP="00607F9C">
      <w:pPr>
        <w:pStyle w:val="Textoindependiente"/>
        <w:jc w:val="center"/>
        <w:rPr>
          <w:rFonts w:cs="Arial"/>
          <w:b/>
          <w:bCs/>
          <w:sz w:val="20"/>
        </w:rPr>
      </w:pPr>
      <w:r w:rsidRPr="000309AD">
        <w:rPr>
          <w:rFonts w:cs="Arial"/>
          <w:b/>
          <w:bCs/>
          <w:sz w:val="20"/>
        </w:rPr>
        <w:t>I</w:t>
      </w:r>
      <w:r>
        <w:rPr>
          <w:rFonts w:cs="Arial"/>
          <w:b/>
          <w:bCs/>
          <w:sz w:val="20"/>
        </w:rPr>
        <w:t>NSTITUTO DE INFORMACION ESTADISTICA Y GEOGRAFICA DEL ESTADO DE JALISCO.</w:t>
      </w:r>
    </w:p>
    <w:p w:rsidR="0025733F" w:rsidRDefault="00322439" w:rsidP="00322439">
      <w:pPr>
        <w:pStyle w:val="Textoindependiente"/>
        <w:jc w:val="center"/>
        <w:rPr>
          <w:rFonts w:cs="Arial"/>
          <w:b/>
          <w:sz w:val="20"/>
        </w:rPr>
      </w:pPr>
      <w:r w:rsidRPr="00607F9C">
        <w:rPr>
          <w:rFonts w:ascii="Frutiger-Light" w:hAnsi="Frutiger-Light"/>
          <w:b/>
          <w:bCs/>
          <w:sz w:val="20"/>
        </w:rPr>
        <w:t xml:space="preserve">Auditoria </w:t>
      </w:r>
      <w:r w:rsidR="00511D2F">
        <w:rPr>
          <w:rFonts w:cs="Arial"/>
          <w:b/>
          <w:sz w:val="20"/>
        </w:rPr>
        <w:t>d</w:t>
      </w:r>
      <w:r w:rsidR="00607F9C" w:rsidRPr="00607F9C">
        <w:rPr>
          <w:rFonts w:cs="Arial"/>
          <w:b/>
          <w:sz w:val="20"/>
        </w:rPr>
        <w:t xml:space="preserve">el 01 de enero al 31 de diciembre de 2016 y </w:t>
      </w:r>
      <w:r w:rsidR="0025733F">
        <w:rPr>
          <w:rFonts w:cs="Arial"/>
          <w:b/>
          <w:sz w:val="20"/>
        </w:rPr>
        <w:t xml:space="preserve">Eventos </w:t>
      </w:r>
      <w:r w:rsidR="00511D2F">
        <w:rPr>
          <w:rFonts w:cs="Arial"/>
          <w:b/>
          <w:sz w:val="20"/>
        </w:rPr>
        <w:t>p</w:t>
      </w:r>
      <w:r w:rsidR="0025733F">
        <w:rPr>
          <w:rFonts w:cs="Arial"/>
          <w:b/>
          <w:sz w:val="20"/>
        </w:rPr>
        <w:t>osteriores.</w:t>
      </w:r>
    </w:p>
    <w:p w:rsidR="002014B5" w:rsidRDefault="002014B5" w:rsidP="00322439">
      <w:pPr>
        <w:pStyle w:val="Textoindependiente"/>
        <w:jc w:val="center"/>
        <w:rPr>
          <w:rFonts w:cs="Arial"/>
          <w:b/>
          <w:sz w:val="20"/>
        </w:rPr>
      </w:pPr>
    </w:p>
    <w:p w:rsidR="00D66841" w:rsidRPr="00D66841" w:rsidRDefault="00112C8E" w:rsidP="002014B5">
      <w:pPr>
        <w:pStyle w:val="Textoindependiente"/>
        <w:jc w:val="right"/>
        <w:rPr>
          <w:rFonts w:ascii="Frutiger-Light" w:hAnsi="Frutiger-Light"/>
          <w:b/>
          <w:sz w:val="21"/>
          <w:szCs w:val="21"/>
        </w:rPr>
      </w:pPr>
      <w:r w:rsidRPr="00D66841">
        <w:rPr>
          <w:rFonts w:ascii="Frutiger-Light" w:hAnsi="Frutiger-Light"/>
          <w:b/>
          <w:sz w:val="21"/>
          <w:szCs w:val="21"/>
        </w:rPr>
        <w:t>Observación</w:t>
      </w:r>
      <w:r w:rsidR="00D66841" w:rsidRPr="00D66841">
        <w:rPr>
          <w:rFonts w:ascii="Frutiger-Light" w:hAnsi="Frutiger-Light"/>
          <w:b/>
          <w:sz w:val="21"/>
          <w:szCs w:val="21"/>
        </w:rPr>
        <w:t xml:space="preserve"> No. </w:t>
      </w:r>
      <w:r w:rsidR="00146ADA">
        <w:rPr>
          <w:rFonts w:ascii="Frutiger-Light" w:hAnsi="Frutiger-Light"/>
          <w:b/>
          <w:sz w:val="21"/>
          <w:szCs w:val="21"/>
        </w:rPr>
        <w:t>4</w:t>
      </w:r>
      <w:r w:rsidR="005B45A7">
        <w:rPr>
          <w:rFonts w:ascii="Frutiger-Light" w:hAnsi="Frutiger-Light"/>
          <w:b/>
          <w:sz w:val="21"/>
          <w:szCs w:val="21"/>
        </w:rPr>
        <w:t>.6</w:t>
      </w:r>
      <w:r w:rsidR="002014B5">
        <w:rPr>
          <w:rFonts w:ascii="Frutiger-Light" w:hAnsi="Frutiger-Light"/>
          <w:b/>
          <w:sz w:val="21"/>
          <w:szCs w:val="21"/>
        </w:rPr>
        <w:t xml:space="preserve"> </w:t>
      </w:r>
      <w:r w:rsidR="009860CE">
        <w:rPr>
          <w:rFonts w:ascii="Frutiger-Light" w:hAnsi="Frutiger-Light"/>
          <w:b/>
          <w:sz w:val="21"/>
          <w:szCs w:val="21"/>
        </w:rPr>
        <w:t>P</w:t>
      </w:r>
      <w:r w:rsidR="0026061B">
        <w:rPr>
          <w:rFonts w:ascii="Frutiger-Light" w:hAnsi="Frutiger-Light"/>
          <w:b/>
          <w:sz w:val="21"/>
          <w:szCs w:val="21"/>
        </w:rPr>
        <w:t xml:space="preserve">ágina </w:t>
      </w:r>
      <w:r w:rsidR="005B45A7">
        <w:rPr>
          <w:rFonts w:ascii="Frutiger-Light" w:hAnsi="Frutiger-Light"/>
          <w:b/>
          <w:sz w:val="21"/>
          <w:szCs w:val="21"/>
        </w:rPr>
        <w:t>11</w:t>
      </w:r>
      <w:r w:rsidR="002014B5">
        <w:rPr>
          <w:rFonts w:ascii="Frutiger-Light" w:hAnsi="Frutiger-Light"/>
          <w:b/>
          <w:sz w:val="21"/>
          <w:szCs w:val="21"/>
        </w:rPr>
        <w:t xml:space="preserve"> </w:t>
      </w:r>
      <w:r w:rsidR="0025733F">
        <w:rPr>
          <w:rFonts w:ascii="Frutiger-Light" w:hAnsi="Frutiger-Light"/>
          <w:b/>
          <w:sz w:val="21"/>
          <w:szCs w:val="21"/>
        </w:rPr>
        <w:t>de 13</w:t>
      </w:r>
      <w:r w:rsidR="00D66841" w:rsidRPr="00D66841">
        <w:rPr>
          <w:rFonts w:ascii="Frutiger-Light" w:hAnsi="Frutiger-Light"/>
          <w:b/>
          <w:sz w:val="21"/>
          <w:szCs w:val="21"/>
        </w:rPr>
        <w:t>.</w:t>
      </w:r>
    </w:p>
    <w:p w:rsidR="00047693" w:rsidRDefault="00047693" w:rsidP="00607F9C">
      <w:pPr>
        <w:jc w:val="both"/>
        <w:rPr>
          <w:rFonts w:ascii="Arial" w:hAnsi="Arial" w:cs="Arial"/>
          <w:b/>
        </w:rPr>
      </w:pPr>
    </w:p>
    <w:p w:rsidR="00146ADA" w:rsidRPr="007C631B" w:rsidRDefault="00146ADA" w:rsidP="00146ADA">
      <w:pPr>
        <w:jc w:val="both"/>
        <w:rPr>
          <w:rFonts w:ascii="Arial" w:hAnsi="Arial" w:cs="Arial"/>
          <w:b/>
        </w:rPr>
      </w:pPr>
      <w:bookmarkStart w:id="0" w:name="_GoBack"/>
      <w:r w:rsidRPr="007C631B">
        <w:rPr>
          <w:rFonts w:ascii="Arial" w:hAnsi="Arial" w:cs="Arial"/>
          <w:b/>
          <w:lang w:eastAsia="es-MX"/>
        </w:rPr>
        <w:t xml:space="preserve">4.0.- </w:t>
      </w:r>
      <w:r w:rsidRPr="007C631B">
        <w:rPr>
          <w:rFonts w:ascii="Arial" w:hAnsi="Arial" w:cs="Arial"/>
          <w:b/>
        </w:rPr>
        <w:t>NOMINAS Y SERVICIOS PERSONALES.</w:t>
      </w:r>
    </w:p>
    <w:p w:rsidR="005B45A7" w:rsidRPr="007C631B" w:rsidRDefault="005B45A7" w:rsidP="005B45A7">
      <w:pPr>
        <w:pStyle w:val="Prrafodelista"/>
        <w:ind w:left="0"/>
        <w:jc w:val="both"/>
        <w:rPr>
          <w:rFonts w:ascii="Arial" w:hAnsi="Arial" w:cs="Arial"/>
          <w:b/>
          <w:i/>
          <w:u w:val="single"/>
          <w:lang w:eastAsia="es-MX"/>
        </w:rPr>
      </w:pPr>
      <w:r w:rsidRPr="007C631B">
        <w:rPr>
          <w:rFonts w:ascii="Arial" w:hAnsi="Arial" w:cs="Arial"/>
          <w:b/>
          <w:i/>
          <w:u w:val="single"/>
          <w:lang w:eastAsia="es-MX"/>
        </w:rPr>
        <w:t xml:space="preserve">Pagos personal  asimilables a salarios sin Soporte documental </w:t>
      </w:r>
    </w:p>
    <w:p w:rsidR="0058107E" w:rsidRPr="007C631B" w:rsidRDefault="00051F4B" w:rsidP="0058107E">
      <w:pPr>
        <w:rPr>
          <w:rFonts w:ascii="Arial" w:hAnsi="Arial" w:cs="Arial"/>
          <w:b/>
          <w:i/>
          <w:u w:val="single"/>
        </w:rPr>
      </w:pPr>
      <w:r w:rsidRPr="007C631B">
        <w:rPr>
          <w:rFonts w:ascii="Arial" w:hAnsi="Arial" w:cs="Arial"/>
          <w:b/>
          <w:i/>
          <w:u w:val="single"/>
        </w:rPr>
        <w:t>Contestación:</w:t>
      </w:r>
    </w:p>
    <w:bookmarkEnd w:id="0"/>
    <w:p w:rsidR="005B45A7" w:rsidRPr="005B45A7" w:rsidRDefault="00146ADA" w:rsidP="005B45A7">
      <w:pPr>
        <w:spacing w:line="240" w:lineRule="auto"/>
        <w:jc w:val="both"/>
        <w:rPr>
          <w:rFonts w:ascii="Arial" w:hAnsi="Arial" w:cs="Arial"/>
          <w:color w:val="000000"/>
          <w:sz w:val="20"/>
          <w:szCs w:val="20"/>
        </w:rPr>
      </w:pPr>
      <w:r>
        <w:rPr>
          <w:rFonts w:ascii="Arial" w:hAnsi="Arial" w:cs="Arial"/>
          <w:b/>
          <w:sz w:val="20"/>
          <w:szCs w:val="20"/>
        </w:rPr>
        <w:t>4.</w:t>
      </w:r>
      <w:r w:rsidR="005B45A7">
        <w:rPr>
          <w:rFonts w:ascii="Arial" w:hAnsi="Arial" w:cs="Arial"/>
          <w:b/>
          <w:sz w:val="20"/>
          <w:szCs w:val="20"/>
        </w:rPr>
        <w:t>6</w:t>
      </w:r>
      <w:r w:rsidR="00112C8E" w:rsidRPr="00696C36">
        <w:rPr>
          <w:rFonts w:ascii="Arial" w:hAnsi="Arial" w:cs="Arial"/>
          <w:b/>
          <w:sz w:val="20"/>
          <w:szCs w:val="20"/>
        </w:rPr>
        <w:t>.</w:t>
      </w:r>
      <w:r w:rsidR="00F50580" w:rsidRPr="00696C36">
        <w:rPr>
          <w:rFonts w:ascii="Arial" w:hAnsi="Arial" w:cs="Arial"/>
          <w:sz w:val="20"/>
          <w:szCs w:val="20"/>
        </w:rPr>
        <w:t xml:space="preserve">- </w:t>
      </w:r>
      <w:r w:rsidR="005B45A7" w:rsidRPr="005B45A7">
        <w:rPr>
          <w:rFonts w:ascii="Arial" w:hAnsi="Arial" w:cs="Arial"/>
          <w:color w:val="000000"/>
          <w:sz w:val="20"/>
          <w:szCs w:val="20"/>
        </w:rPr>
        <w:t xml:space="preserve">En el mes de enero de 2016 se llevaron a cabo contrataciones de 4 personas para el proyecto de Derrama Económica del Ornato Navideño, y de otra persona  más para un proyecto interno. A dichas contrataciones se les dio tratamiento como de asimilables a salarios por la cantidad tan pequeña del pago, sin embargo sí se retuvieron los impuestos correspondientes y se enteraron debidamente al SAT. Posteriormente, en el mes de febrero de 2016, al hacer una revisión de este acto, el Instituto se percató que conforme a la Ley del Impuesto Sobre la Renta (ISR), era necesario que todos los proveedores estuvieran dados de alta en el SAT para emitir facturas o recibos oficiales con las deducciones correspondientes. </w:t>
      </w:r>
    </w:p>
    <w:p w:rsidR="005B45A7" w:rsidRPr="005B45A7" w:rsidRDefault="005B45A7" w:rsidP="005B45A7">
      <w:pPr>
        <w:spacing w:line="240" w:lineRule="auto"/>
        <w:jc w:val="both"/>
        <w:rPr>
          <w:rFonts w:ascii="Arial" w:hAnsi="Arial" w:cs="Arial"/>
          <w:color w:val="000000"/>
          <w:sz w:val="20"/>
          <w:szCs w:val="20"/>
        </w:rPr>
      </w:pPr>
      <w:r w:rsidRPr="005B45A7">
        <w:rPr>
          <w:rFonts w:ascii="Arial" w:hAnsi="Arial" w:cs="Arial"/>
          <w:color w:val="000000"/>
          <w:sz w:val="20"/>
          <w:szCs w:val="20"/>
        </w:rPr>
        <w:t>Por tal motivo y a efecto de no seguir incumpliendo con el ordenamiento antes citado, se verificó que  todos los proveedores estuvieran dados  alta ante el SAT. Como resultado de la medida anterior a  partir del mes de marzo de ese mismo año, toda persona que ha sido contratada por el IIEG, se encuentra  dada de alta en el SAT y emite las facturas correspondientes. De tal manera que la recomendación emitida por este órgano revisor al que me dirijo referente a  “…instruir al personal responsable para implementar acciones procedentes que eviten la concurrencia de acciones o decisiones que no se apeguen estrictamente a la normatividad” ya ha sido cumplida desde el mes de marzo del año 2016 en que se implementaron las medidas antes descritas.</w:t>
      </w:r>
    </w:p>
    <w:p w:rsidR="005B45A7" w:rsidRPr="005B45A7" w:rsidRDefault="005B45A7" w:rsidP="005B45A7">
      <w:pPr>
        <w:spacing w:line="240" w:lineRule="auto"/>
        <w:jc w:val="both"/>
        <w:rPr>
          <w:rFonts w:ascii="Arial" w:hAnsi="Arial" w:cs="Arial"/>
          <w:color w:val="000000"/>
          <w:sz w:val="20"/>
          <w:szCs w:val="20"/>
        </w:rPr>
      </w:pPr>
      <w:r w:rsidRPr="005B45A7">
        <w:rPr>
          <w:rFonts w:ascii="Arial" w:hAnsi="Arial" w:cs="Arial"/>
          <w:color w:val="000000"/>
          <w:sz w:val="20"/>
          <w:szCs w:val="20"/>
        </w:rPr>
        <w:t xml:space="preserve">Ahora bien, una vez detalladas las circunstancias que motivaron el accionar del personal de este Instituto, así como las medidas implementadas para evitar la recurrencia, procedo a detallar la procedencia del ingreso con el que se realizaron dichos pagos.  </w:t>
      </w:r>
    </w:p>
    <w:p w:rsidR="005B45A7" w:rsidRPr="005B45A7" w:rsidRDefault="005B45A7" w:rsidP="005B45A7">
      <w:pPr>
        <w:spacing w:line="240" w:lineRule="auto"/>
        <w:jc w:val="both"/>
        <w:rPr>
          <w:rFonts w:ascii="Arial" w:hAnsi="Arial" w:cs="Arial"/>
          <w:color w:val="000000"/>
          <w:sz w:val="20"/>
          <w:szCs w:val="20"/>
        </w:rPr>
      </w:pPr>
      <w:r w:rsidRPr="005B45A7">
        <w:rPr>
          <w:rFonts w:ascii="Arial" w:hAnsi="Arial" w:cs="Arial"/>
          <w:color w:val="000000"/>
          <w:sz w:val="20"/>
          <w:szCs w:val="20"/>
        </w:rPr>
        <w:t>Conforme al contrato IIEG/DG/UAJ/CONT/134/2015 de fecha 17 de diciembre de 2015 celebrado con la Cámara de Comercio de Guadalajara (CANACO) para el desarrollo del Proyecto denominado Estudio de Derrama Económica del Ornato Navideño 2015, el ingreso recibido fue de $64,960.00 IVA incluido, y las erogaciones que se llevaron a cabo conforme a las personas contratadas fue de $</w:t>
      </w:r>
      <w:bookmarkStart w:id="1" w:name="OLE_LINK1"/>
      <w:r w:rsidRPr="005B45A7">
        <w:rPr>
          <w:rFonts w:ascii="Arial" w:hAnsi="Arial" w:cs="Arial"/>
          <w:color w:val="000000"/>
          <w:sz w:val="20"/>
          <w:szCs w:val="20"/>
        </w:rPr>
        <w:t xml:space="preserve">56,000.00 </w:t>
      </w:r>
      <w:bookmarkEnd w:id="1"/>
      <w:r w:rsidRPr="005B45A7">
        <w:rPr>
          <w:rFonts w:ascii="Arial" w:hAnsi="Arial" w:cs="Arial"/>
          <w:color w:val="000000"/>
          <w:sz w:val="20"/>
          <w:szCs w:val="20"/>
        </w:rPr>
        <w:t>IVA incluido. El monto restante, es decir $8,960.00 quedó como remanente presupuestal para el IIEG, que junto con otros remanentes de proyectos propios concluidos fue presentado en la Primera Sesión Ordinaria 2017 de la Junta de Gobierno llevada a cabo el día 19 de enero 2017.</w:t>
      </w:r>
    </w:p>
    <w:p w:rsidR="005B45A7" w:rsidRDefault="005B45A7" w:rsidP="005B45A7">
      <w:pPr>
        <w:spacing w:line="240" w:lineRule="auto"/>
        <w:jc w:val="both"/>
        <w:rPr>
          <w:rFonts w:ascii="Arial" w:hAnsi="Arial" w:cs="Arial"/>
          <w:color w:val="000000"/>
          <w:sz w:val="20"/>
          <w:szCs w:val="20"/>
        </w:rPr>
      </w:pPr>
      <w:r w:rsidRPr="005B45A7">
        <w:rPr>
          <w:rFonts w:ascii="Arial" w:hAnsi="Arial" w:cs="Arial"/>
          <w:color w:val="000000"/>
          <w:sz w:val="20"/>
          <w:szCs w:val="20"/>
        </w:rPr>
        <w:t>Para una mayor claridad, se anexa una tabla con las fechas y montos de pago de ese proyecto. En el mismo no solo son las personas señaladas sino una persona más: Ángel Tomas Wong Dan, el cual sí emitió la factura correspondiente.</w:t>
      </w:r>
    </w:p>
    <w:tbl>
      <w:tblPr>
        <w:tblW w:w="5000" w:type="pct"/>
        <w:tblCellMar>
          <w:left w:w="70" w:type="dxa"/>
          <w:right w:w="70" w:type="dxa"/>
        </w:tblCellMar>
        <w:tblLook w:val="04A0"/>
      </w:tblPr>
      <w:tblGrid>
        <w:gridCol w:w="1504"/>
        <w:gridCol w:w="1501"/>
        <w:gridCol w:w="4100"/>
        <w:gridCol w:w="1875"/>
      </w:tblGrid>
      <w:tr w:rsidR="005B45A7" w:rsidRPr="005B45A7" w:rsidTr="00511D2F">
        <w:trPr>
          <w:trHeight w:val="255"/>
        </w:trPr>
        <w:tc>
          <w:tcPr>
            <w:tcW w:w="8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5A7" w:rsidRPr="005B45A7" w:rsidRDefault="005B45A7" w:rsidP="00DB0C3F">
            <w:pPr>
              <w:spacing w:after="0" w:line="240" w:lineRule="auto"/>
              <w:rPr>
                <w:rFonts w:ascii="Arial" w:eastAsia="Times New Roman" w:hAnsi="Arial" w:cs="Arial"/>
                <w:b/>
                <w:bCs/>
                <w:color w:val="000000"/>
                <w:sz w:val="20"/>
                <w:szCs w:val="20"/>
                <w:lang w:eastAsia="es-MX"/>
              </w:rPr>
            </w:pPr>
            <w:r w:rsidRPr="005B45A7">
              <w:rPr>
                <w:rFonts w:ascii="Arial" w:eastAsia="Times New Roman" w:hAnsi="Arial" w:cs="Arial"/>
                <w:b/>
                <w:bCs/>
                <w:color w:val="000000"/>
                <w:sz w:val="20"/>
                <w:szCs w:val="20"/>
                <w:lang w:eastAsia="es-MX"/>
              </w:rPr>
              <w:t>FECHA</w:t>
            </w:r>
          </w:p>
        </w:tc>
        <w:tc>
          <w:tcPr>
            <w:tcW w:w="836" w:type="pct"/>
            <w:tcBorders>
              <w:top w:val="single" w:sz="4" w:space="0" w:color="auto"/>
              <w:left w:val="nil"/>
              <w:bottom w:val="single" w:sz="4" w:space="0" w:color="auto"/>
              <w:right w:val="single" w:sz="4" w:space="0" w:color="auto"/>
            </w:tcBorders>
            <w:shd w:val="clear" w:color="auto" w:fill="auto"/>
            <w:noWrap/>
            <w:vAlign w:val="center"/>
            <w:hideMark/>
          </w:tcPr>
          <w:p w:rsidR="005B45A7" w:rsidRPr="005B45A7" w:rsidRDefault="005B45A7" w:rsidP="00DB0C3F">
            <w:pPr>
              <w:spacing w:after="0" w:line="240" w:lineRule="auto"/>
              <w:rPr>
                <w:rFonts w:ascii="Arial" w:eastAsia="Times New Roman" w:hAnsi="Arial" w:cs="Arial"/>
                <w:b/>
                <w:bCs/>
                <w:color w:val="000000"/>
                <w:sz w:val="20"/>
                <w:szCs w:val="20"/>
                <w:lang w:eastAsia="es-MX"/>
              </w:rPr>
            </w:pPr>
            <w:r w:rsidRPr="005B45A7">
              <w:rPr>
                <w:rFonts w:ascii="Arial" w:eastAsia="Times New Roman" w:hAnsi="Arial" w:cs="Arial"/>
                <w:b/>
                <w:bCs/>
                <w:color w:val="000000"/>
                <w:sz w:val="20"/>
                <w:szCs w:val="20"/>
                <w:lang w:eastAsia="es-MX"/>
              </w:rPr>
              <w:t>POLIZA</w:t>
            </w:r>
          </w:p>
        </w:tc>
        <w:tc>
          <w:tcPr>
            <w:tcW w:w="2283" w:type="pct"/>
            <w:tcBorders>
              <w:top w:val="single" w:sz="4" w:space="0" w:color="auto"/>
              <w:left w:val="nil"/>
              <w:bottom w:val="single" w:sz="4" w:space="0" w:color="auto"/>
              <w:right w:val="single" w:sz="4" w:space="0" w:color="auto"/>
            </w:tcBorders>
            <w:shd w:val="clear" w:color="auto" w:fill="auto"/>
            <w:noWrap/>
            <w:vAlign w:val="center"/>
            <w:hideMark/>
          </w:tcPr>
          <w:p w:rsidR="005B45A7" w:rsidRPr="005B45A7" w:rsidRDefault="005B45A7" w:rsidP="00DB0C3F">
            <w:pPr>
              <w:spacing w:after="0" w:line="240" w:lineRule="auto"/>
              <w:rPr>
                <w:rFonts w:ascii="Arial" w:eastAsia="Times New Roman" w:hAnsi="Arial" w:cs="Arial"/>
                <w:b/>
                <w:bCs/>
                <w:color w:val="000000"/>
                <w:sz w:val="20"/>
                <w:szCs w:val="20"/>
                <w:lang w:eastAsia="es-MX"/>
              </w:rPr>
            </w:pPr>
            <w:r w:rsidRPr="005B45A7">
              <w:rPr>
                <w:rFonts w:ascii="Arial" w:eastAsia="Times New Roman" w:hAnsi="Arial" w:cs="Arial"/>
                <w:b/>
                <w:bCs/>
                <w:color w:val="000000"/>
                <w:sz w:val="20"/>
                <w:szCs w:val="20"/>
                <w:lang w:eastAsia="es-MX"/>
              </w:rPr>
              <w:t>NOMBRE</w:t>
            </w:r>
          </w:p>
        </w:tc>
        <w:tc>
          <w:tcPr>
            <w:tcW w:w="1044" w:type="pct"/>
            <w:tcBorders>
              <w:top w:val="single" w:sz="4" w:space="0" w:color="auto"/>
              <w:left w:val="nil"/>
              <w:bottom w:val="single" w:sz="4" w:space="0" w:color="auto"/>
              <w:right w:val="single" w:sz="4" w:space="0" w:color="auto"/>
            </w:tcBorders>
            <w:shd w:val="clear" w:color="auto" w:fill="auto"/>
            <w:noWrap/>
            <w:vAlign w:val="center"/>
            <w:hideMark/>
          </w:tcPr>
          <w:p w:rsidR="005B45A7" w:rsidRPr="005B45A7" w:rsidRDefault="005B45A7" w:rsidP="00DB0C3F">
            <w:pPr>
              <w:spacing w:after="0" w:line="240" w:lineRule="auto"/>
              <w:rPr>
                <w:rFonts w:ascii="Arial" w:eastAsia="Times New Roman" w:hAnsi="Arial" w:cs="Arial"/>
                <w:b/>
                <w:bCs/>
                <w:color w:val="000000"/>
                <w:sz w:val="20"/>
                <w:szCs w:val="20"/>
                <w:lang w:eastAsia="es-MX"/>
              </w:rPr>
            </w:pPr>
            <w:r w:rsidRPr="005B45A7">
              <w:rPr>
                <w:rFonts w:ascii="Arial" w:eastAsia="Times New Roman" w:hAnsi="Arial" w:cs="Arial"/>
                <w:b/>
                <w:bCs/>
                <w:color w:val="000000"/>
                <w:sz w:val="20"/>
                <w:szCs w:val="20"/>
                <w:lang w:eastAsia="es-MX"/>
              </w:rPr>
              <w:t>MONTO</w:t>
            </w:r>
          </w:p>
        </w:tc>
      </w:tr>
      <w:tr w:rsidR="005B45A7" w:rsidRPr="005B45A7" w:rsidTr="00511D2F">
        <w:trPr>
          <w:trHeight w:val="300"/>
        </w:trPr>
        <w:tc>
          <w:tcPr>
            <w:tcW w:w="837" w:type="pct"/>
            <w:tcBorders>
              <w:top w:val="nil"/>
              <w:left w:val="single" w:sz="4" w:space="0" w:color="auto"/>
              <w:bottom w:val="single" w:sz="4" w:space="0" w:color="auto"/>
              <w:right w:val="single" w:sz="4" w:space="0" w:color="auto"/>
            </w:tcBorders>
            <w:shd w:val="clear" w:color="auto" w:fill="auto"/>
            <w:noWrap/>
            <w:vAlign w:val="center"/>
            <w:hideMark/>
          </w:tcPr>
          <w:p w:rsidR="005B45A7" w:rsidRPr="005B45A7" w:rsidRDefault="005B45A7" w:rsidP="00DB0C3F">
            <w:pPr>
              <w:spacing w:after="0" w:line="240" w:lineRule="auto"/>
              <w:rPr>
                <w:rFonts w:ascii="Arial" w:eastAsia="Times New Roman" w:hAnsi="Arial" w:cs="Arial"/>
                <w:color w:val="000000"/>
                <w:sz w:val="20"/>
                <w:szCs w:val="20"/>
                <w:lang w:eastAsia="es-MX"/>
              </w:rPr>
            </w:pPr>
            <w:r w:rsidRPr="005B45A7">
              <w:rPr>
                <w:rFonts w:ascii="Arial" w:eastAsia="Times New Roman" w:hAnsi="Arial" w:cs="Arial"/>
                <w:color w:val="000000"/>
                <w:sz w:val="20"/>
                <w:szCs w:val="20"/>
                <w:lang w:eastAsia="es-MX"/>
              </w:rPr>
              <w:t>03/02/2016</w:t>
            </w:r>
          </w:p>
        </w:tc>
        <w:tc>
          <w:tcPr>
            <w:tcW w:w="836" w:type="pct"/>
            <w:tcBorders>
              <w:top w:val="nil"/>
              <w:left w:val="nil"/>
              <w:bottom w:val="single" w:sz="4" w:space="0" w:color="auto"/>
              <w:right w:val="single" w:sz="4" w:space="0" w:color="auto"/>
            </w:tcBorders>
            <w:shd w:val="clear" w:color="auto" w:fill="auto"/>
            <w:noWrap/>
            <w:vAlign w:val="bottom"/>
            <w:hideMark/>
          </w:tcPr>
          <w:p w:rsidR="005B45A7" w:rsidRPr="005B45A7" w:rsidRDefault="005B45A7" w:rsidP="00DB0C3F">
            <w:pPr>
              <w:spacing w:after="0" w:line="240" w:lineRule="auto"/>
              <w:rPr>
                <w:rFonts w:ascii="Arial" w:eastAsia="Times New Roman" w:hAnsi="Arial" w:cs="Arial"/>
                <w:color w:val="000000"/>
                <w:sz w:val="20"/>
                <w:szCs w:val="20"/>
                <w:lang w:eastAsia="es-MX"/>
              </w:rPr>
            </w:pPr>
            <w:r w:rsidRPr="005B45A7">
              <w:rPr>
                <w:rFonts w:ascii="Arial" w:eastAsia="Times New Roman" w:hAnsi="Arial" w:cs="Arial"/>
                <w:color w:val="000000"/>
                <w:sz w:val="20"/>
                <w:szCs w:val="20"/>
                <w:lang w:eastAsia="es-MX"/>
              </w:rPr>
              <w:t>C00078 /</w:t>
            </w:r>
          </w:p>
        </w:tc>
        <w:tc>
          <w:tcPr>
            <w:tcW w:w="2283" w:type="pct"/>
            <w:tcBorders>
              <w:top w:val="nil"/>
              <w:left w:val="nil"/>
              <w:bottom w:val="single" w:sz="4" w:space="0" w:color="auto"/>
              <w:right w:val="single" w:sz="4" w:space="0" w:color="auto"/>
            </w:tcBorders>
            <w:shd w:val="clear" w:color="auto" w:fill="auto"/>
            <w:noWrap/>
            <w:vAlign w:val="center"/>
            <w:hideMark/>
          </w:tcPr>
          <w:p w:rsidR="005B45A7" w:rsidRPr="005B45A7" w:rsidRDefault="005B45A7" w:rsidP="00DB0C3F">
            <w:pPr>
              <w:spacing w:after="0" w:line="240" w:lineRule="auto"/>
              <w:rPr>
                <w:rFonts w:ascii="Arial" w:eastAsia="Times New Roman" w:hAnsi="Arial" w:cs="Arial"/>
                <w:color w:val="000000"/>
                <w:sz w:val="20"/>
                <w:szCs w:val="20"/>
                <w:lang w:eastAsia="es-MX"/>
              </w:rPr>
            </w:pPr>
            <w:r w:rsidRPr="005B45A7">
              <w:rPr>
                <w:rFonts w:ascii="Arial" w:eastAsia="Times New Roman" w:hAnsi="Arial" w:cs="Arial"/>
                <w:color w:val="000000"/>
                <w:sz w:val="20"/>
                <w:szCs w:val="20"/>
                <w:lang w:eastAsia="es-MX"/>
              </w:rPr>
              <w:t xml:space="preserve">  Rosa María Bernardino Villalvazo</w:t>
            </w:r>
          </w:p>
        </w:tc>
        <w:tc>
          <w:tcPr>
            <w:tcW w:w="1044" w:type="pct"/>
            <w:tcBorders>
              <w:top w:val="nil"/>
              <w:left w:val="nil"/>
              <w:bottom w:val="single" w:sz="4" w:space="0" w:color="auto"/>
              <w:right w:val="single" w:sz="4" w:space="0" w:color="auto"/>
            </w:tcBorders>
            <w:shd w:val="clear" w:color="auto" w:fill="auto"/>
            <w:noWrap/>
            <w:vAlign w:val="center"/>
            <w:hideMark/>
          </w:tcPr>
          <w:p w:rsidR="005B45A7" w:rsidRPr="005B45A7" w:rsidRDefault="005B45A7" w:rsidP="00DB0C3F">
            <w:pPr>
              <w:spacing w:after="0" w:line="240" w:lineRule="auto"/>
              <w:jc w:val="right"/>
              <w:rPr>
                <w:rFonts w:ascii="Arial" w:eastAsia="Times New Roman" w:hAnsi="Arial" w:cs="Arial"/>
                <w:color w:val="000000"/>
                <w:sz w:val="20"/>
                <w:szCs w:val="20"/>
                <w:lang w:eastAsia="es-MX"/>
              </w:rPr>
            </w:pPr>
            <w:r w:rsidRPr="005B45A7">
              <w:rPr>
                <w:rFonts w:ascii="Arial" w:eastAsia="Times New Roman" w:hAnsi="Arial" w:cs="Arial"/>
                <w:color w:val="000000"/>
                <w:sz w:val="20"/>
                <w:szCs w:val="20"/>
                <w:lang w:eastAsia="es-MX"/>
              </w:rPr>
              <w:t xml:space="preserve">2,750.00 </w:t>
            </w:r>
          </w:p>
        </w:tc>
      </w:tr>
      <w:tr w:rsidR="005B45A7" w:rsidRPr="005B45A7" w:rsidTr="00511D2F">
        <w:trPr>
          <w:trHeight w:val="300"/>
        </w:trPr>
        <w:tc>
          <w:tcPr>
            <w:tcW w:w="837" w:type="pct"/>
            <w:tcBorders>
              <w:top w:val="nil"/>
              <w:left w:val="single" w:sz="4" w:space="0" w:color="auto"/>
              <w:bottom w:val="single" w:sz="4" w:space="0" w:color="auto"/>
              <w:right w:val="single" w:sz="4" w:space="0" w:color="auto"/>
            </w:tcBorders>
            <w:shd w:val="clear" w:color="auto" w:fill="auto"/>
            <w:noWrap/>
            <w:vAlign w:val="center"/>
            <w:hideMark/>
          </w:tcPr>
          <w:p w:rsidR="005B45A7" w:rsidRPr="005B45A7" w:rsidRDefault="005B45A7" w:rsidP="00DB0C3F">
            <w:pPr>
              <w:spacing w:after="0" w:line="240" w:lineRule="auto"/>
              <w:rPr>
                <w:rFonts w:ascii="Arial" w:eastAsia="Times New Roman" w:hAnsi="Arial" w:cs="Arial"/>
                <w:color w:val="000000"/>
                <w:sz w:val="20"/>
                <w:szCs w:val="20"/>
                <w:lang w:eastAsia="es-MX"/>
              </w:rPr>
            </w:pPr>
            <w:r w:rsidRPr="005B45A7">
              <w:rPr>
                <w:rFonts w:ascii="Arial" w:eastAsia="Times New Roman" w:hAnsi="Arial" w:cs="Arial"/>
                <w:color w:val="000000"/>
                <w:sz w:val="20"/>
                <w:szCs w:val="20"/>
                <w:lang w:eastAsia="es-MX"/>
              </w:rPr>
              <w:t>03/02/2016</w:t>
            </w:r>
          </w:p>
        </w:tc>
        <w:tc>
          <w:tcPr>
            <w:tcW w:w="836" w:type="pct"/>
            <w:tcBorders>
              <w:top w:val="nil"/>
              <w:left w:val="nil"/>
              <w:bottom w:val="single" w:sz="4" w:space="0" w:color="auto"/>
              <w:right w:val="single" w:sz="4" w:space="0" w:color="auto"/>
            </w:tcBorders>
            <w:shd w:val="clear" w:color="auto" w:fill="auto"/>
            <w:noWrap/>
            <w:vAlign w:val="bottom"/>
            <w:hideMark/>
          </w:tcPr>
          <w:p w:rsidR="005B45A7" w:rsidRPr="005B45A7" w:rsidRDefault="005B45A7" w:rsidP="00DB0C3F">
            <w:pPr>
              <w:spacing w:after="0" w:line="240" w:lineRule="auto"/>
              <w:rPr>
                <w:rFonts w:ascii="Arial" w:eastAsia="Times New Roman" w:hAnsi="Arial" w:cs="Arial"/>
                <w:color w:val="000000"/>
                <w:sz w:val="20"/>
                <w:szCs w:val="20"/>
                <w:lang w:eastAsia="es-MX"/>
              </w:rPr>
            </w:pPr>
            <w:r w:rsidRPr="005B45A7">
              <w:rPr>
                <w:rFonts w:ascii="Arial" w:eastAsia="Times New Roman" w:hAnsi="Arial" w:cs="Arial"/>
                <w:color w:val="000000"/>
                <w:sz w:val="20"/>
                <w:szCs w:val="20"/>
                <w:lang w:eastAsia="es-MX"/>
              </w:rPr>
              <w:t>C00079 /</w:t>
            </w:r>
          </w:p>
        </w:tc>
        <w:tc>
          <w:tcPr>
            <w:tcW w:w="2283" w:type="pct"/>
            <w:tcBorders>
              <w:top w:val="nil"/>
              <w:left w:val="nil"/>
              <w:bottom w:val="single" w:sz="4" w:space="0" w:color="auto"/>
              <w:right w:val="single" w:sz="4" w:space="0" w:color="auto"/>
            </w:tcBorders>
            <w:shd w:val="clear" w:color="auto" w:fill="auto"/>
            <w:noWrap/>
            <w:vAlign w:val="center"/>
            <w:hideMark/>
          </w:tcPr>
          <w:p w:rsidR="005B45A7" w:rsidRPr="005B45A7" w:rsidRDefault="005B45A7" w:rsidP="00DB0C3F">
            <w:pPr>
              <w:spacing w:after="0" w:line="240" w:lineRule="auto"/>
              <w:rPr>
                <w:rFonts w:ascii="Arial" w:eastAsia="Times New Roman" w:hAnsi="Arial" w:cs="Arial"/>
                <w:color w:val="000000"/>
                <w:sz w:val="20"/>
                <w:szCs w:val="20"/>
                <w:lang w:eastAsia="es-MX"/>
              </w:rPr>
            </w:pPr>
            <w:r w:rsidRPr="005B45A7">
              <w:rPr>
                <w:rFonts w:ascii="Arial" w:eastAsia="Times New Roman" w:hAnsi="Arial" w:cs="Arial"/>
                <w:color w:val="000000"/>
                <w:sz w:val="20"/>
                <w:szCs w:val="20"/>
                <w:lang w:eastAsia="es-MX"/>
              </w:rPr>
              <w:t xml:space="preserve">  Martha Idalia Fuentes Sánchez</w:t>
            </w:r>
          </w:p>
        </w:tc>
        <w:tc>
          <w:tcPr>
            <w:tcW w:w="1044" w:type="pct"/>
            <w:tcBorders>
              <w:top w:val="nil"/>
              <w:left w:val="nil"/>
              <w:bottom w:val="single" w:sz="4" w:space="0" w:color="auto"/>
              <w:right w:val="single" w:sz="4" w:space="0" w:color="auto"/>
            </w:tcBorders>
            <w:shd w:val="clear" w:color="auto" w:fill="auto"/>
            <w:noWrap/>
            <w:vAlign w:val="center"/>
            <w:hideMark/>
          </w:tcPr>
          <w:p w:rsidR="005B45A7" w:rsidRPr="005B45A7" w:rsidRDefault="005B45A7" w:rsidP="00DB0C3F">
            <w:pPr>
              <w:spacing w:after="0" w:line="240" w:lineRule="auto"/>
              <w:jc w:val="right"/>
              <w:rPr>
                <w:rFonts w:ascii="Arial" w:eastAsia="Times New Roman" w:hAnsi="Arial" w:cs="Arial"/>
                <w:color w:val="000000"/>
                <w:sz w:val="20"/>
                <w:szCs w:val="20"/>
                <w:lang w:eastAsia="es-MX"/>
              </w:rPr>
            </w:pPr>
            <w:r w:rsidRPr="005B45A7">
              <w:rPr>
                <w:rFonts w:ascii="Arial" w:eastAsia="Times New Roman" w:hAnsi="Arial" w:cs="Arial"/>
                <w:color w:val="000000"/>
                <w:sz w:val="20"/>
                <w:szCs w:val="20"/>
                <w:lang w:eastAsia="es-MX"/>
              </w:rPr>
              <w:t xml:space="preserve">2,750.00 </w:t>
            </w:r>
          </w:p>
        </w:tc>
      </w:tr>
      <w:tr w:rsidR="005B45A7" w:rsidRPr="005B45A7" w:rsidTr="00511D2F">
        <w:trPr>
          <w:trHeight w:val="300"/>
        </w:trPr>
        <w:tc>
          <w:tcPr>
            <w:tcW w:w="837" w:type="pct"/>
            <w:tcBorders>
              <w:top w:val="nil"/>
              <w:left w:val="single" w:sz="4" w:space="0" w:color="auto"/>
              <w:bottom w:val="single" w:sz="4" w:space="0" w:color="auto"/>
              <w:right w:val="single" w:sz="4" w:space="0" w:color="auto"/>
            </w:tcBorders>
            <w:shd w:val="clear" w:color="auto" w:fill="auto"/>
            <w:noWrap/>
            <w:vAlign w:val="center"/>
            <w:hideMark/>
          </w:tcPr>
          <w:p w:rsidR="005B45A7" w:rsidRPr="005B45A7" w:rsidRDefault="005B45A7" w:rsidP="00DB0C3F">
            <w:pPr>
              <w:spacing w:after="0" w:line="240" w:lineRule="auto"/>
              <w:rPr>
                <w:rFonts w:ascii="Arial" w:eastAsia="Times New Roman" w:hAnsi="Arial" w:cs="Arial"/>
                <w:color w:val="000000"/>
                <w:sz w:val="20"/>
                <w:szCs w:val="20"/>
                <w:lang w:eastAsia="es-MX"/>
              </w:rPr>
            </w:pPr>
            <w:r w:rsidRPr="005B45A7">
              <w:rPr>
                <w:rFonts w:ascii="Arial" w:eastAsia="Times New Roman" w:hAnsi="Arial" w:cs="Arial"/>
                <w:color w:val="000000"/>
                <w:sz w:val="20"/>
                <w:szCs w:val="20"/>
                <w:lang w:eastAsia="es-MX"/>
              </w:rPr>
              <w:t>03/02/2016</w:t>
            </w:r>
          </w:p>
        </w:tc>
        <w:tc>
          <w:tcPr>
            <w:tcW w:w="836" w:type="pct"/>
            <w:tcBorders>
              <w:top w:val="nil"/>
              <w:left w:val="nil"/>
              <w:bottom w:val="single" w:sz="4" w:space="0" w:color="auto"/>
              <w:right w:val="single" w:sz="4" w:space="0" w:color="auto"/>
            </w:tcBorders>
            <w:shd w:val="clear" w:color="auto" w:fill="auto"/>
            <w:noWrap/>
            <w:vAlign w:val="bottom"/>
            <w:hideMark/>
          </w:tcPr>
          <w:p w:rsidR="005B45A7" w:rsidRPr="005B45A7" w:rsidRDefault="005B45A7" w:rsidP="00DB0C3F">
            <w:pPr>
              <w:spacing w:after="0" w:line="240" w:lineRule="auto"/>
              <w:rPr>
                <w:rFonts w:ascii="Arial" w:eastAsia="Times New Roman" w:hAnsi="Arial" w:cs="Arial"/>
                <w:color w:val="000000"/>
                <w:sz w:val="20"/>
                <w:szCs w:val="20"/>
                <w:lang w:eastAsia="es-MX"/>
              </w:rPr>
            </w:pPr>
            <w:r w:rsidRPr="005B45A7">
              <w:rPr>
                <w:rFonts w:ascii="Arial" w:eastAsia="Times New Roman" w:hAnsi="Arial" w:cs="Arial"/>
                <w:color w:val="000000"/>
                <w:sz w:val="20"/>
                <w:szCs w:val="20"/>
                <w:lang w:eastAsia="es-MX"/>
              </w:rPr>
              <w:t>C00080 /</w:t>
            </w:r>
          </w:p>
        </w:tc>
        <w:tc>
          <w:tcPr>
            <w:tcW w:w="2283" w:type="pct"/>
            <w:tcBorders>
              <w:top w:val="nil"/>
              <w:left w:val="nil"/>
              <w:bottom w:val="single" w:sz="4" w:space="0" w:color="auto"/>
              <w:right w:val="single" w:sz="4" w:space="0" w:color="auto"/>
            </w:tcBorders>
            <w:shd w:val="clear" w:color="auto" w:fill="auto"/>
            <w:noWrap/>
            <w:vAlign w:val="center"/>
            <w:hideMark/>
          </w:tcPr>
          <w:p w:rsidR="005B45A7" w:rsidRPr="005B45A7" w:rsidRDefault="005B45A7" w:rsidP="00DB0C3F">
            <w:pPr>
              <w:spacing w:after="0" w:line="240" w:lineRule="auto"/>
              <w:rPr>
                <w:rFonts w:ascii="Arial" w:eastAsia="Times New Roman" w:hAnsi="Arial" w:cs="Arial"/>
                <w:color w:val="000000"/>
                <w:sz w:val="20"/>
                <w:szCs w:val="20"/>
                <w:lang w:eastAsia="es-MX"/>
              </w:rPr>
            </w:pPr>
            <w:r w:rsidRPr="005B45A7">
              <w:rPr>
                <w:rFonts w:ascii="Arial" w:eastAsia="Times New Roman" w:hAnsi="Arial" w:cs="Arial"/>
                <w:color w:val="000000"/>
                <w:sz w:val="20"/>
                <w:szCs w:val="20"/>
                <w:lang w:eastAsia="es-MX"/>
              </w:rPr>
              <w:t xml:space="preserve">  Francisco Rene Pérez Hernández</w:t>
            </w:r>
          </w:p>
        </w:tc>
        <w:tc>
          <w:tcPr>
            <w:tcW w:w="1044" w:type="pct"/>
            <w:tcBorders>
              <w:top w:val="nil"/>
              <w:left w:val="nil"/>
              <w:bottom w:val="single" w:sz="4" w:space="0" w:color="auto"/>
              <w:right w:val="single" w:sz="4" w:space="0" w:color="auto"/>
            </w:tcBorders>
            <w:shd w:val="clear" w:color="auto" w:fill="auto"/>
            <w:noWrap/>
            <w:vAlign w:val="center"/>
            <w:hideMark/>
          </w:tcPr>
          <w:p w:rsidR="005B45A7" w:rsidRPr="005B45A7" w:rsidRDefault="005B45A7" w:rsidP="00DB0C3F">
            <w:pPr>
              <w:spacing w:after="0" w:line="240" w:lineRule="auto"/>
              <w:jc w:val="right"/>
              <w:rPr>
                <w:rFonts w:ascii="Arial" w:eastAsia="Times New Roman" w:hAnsi="Arial" w:cs="Arial"/>
                <w:color w:val="000000"/>
                <w:sz w:val="20"/>
                <w:szCs w:val="20"/>
                <w:lang w:eastAsia="es-MX"/>
              </w:rPr>
            </w:pPr>
            <w:r w:rsidRPr="005B45A7">
              <w:rPr>
                <w:rFonts w:ascii="Arial" w:eastAsia="Times New Roman" w:hAnsi="Arial" w:cs="Arial"/>
                <w:color w:val="000000"/>
                <w:sz w:val="20"/>
                <w:szCs w:val="20"/>
                <w:lang w:eastAsia="es-MX"/>
              </w:rPr>
              <w:t xml:space="preserve">7,500.00 </w:t>
            </w:r>
          </w:p>
        </w:tc>
      </w:tr>
      <w:tr w:rsidR="005B45A7" w:rsidRPr="005B45A7" w:rsidTr="00511D2F">
        <w:trPr>
          <w:trHeight w:val="300"/>
        </w:trPr>
        <w:tc>
          <w:tcPr>
            <w:tcW w:w="837" w:type="pct"/>
            <w:tcBorders>
              <w:top w:val="nil"/>
              <w:left w:val="single" w:sz="4" w:space="0" w:color="auto"/>
              <w:bottom w:val="single" w:sz="4" w:space="0" w:color="auto"/>
              <w:right w:val="single" w:sz="4" w:space="0" w:color="auto"/>
            </w:tcBorders>
            <w:shd w:val="clear" w:color="auto" w:fill="auto"/>
            <w:noWrap/>
            <w:vAlign w:val="center"/>
            <w:hideMark/>
          </w:tcPr>
          <w:p w:rsidR="005B45A7" w:rsidRPr="005B45A7" w:rsidRDefault="005B45A7" w:rsidP="00DB0C3F">
            <w:pPr>
              <w:spacing w:after="0" w:line="240" w:lineRule="auto"/>
              <w:rPr>
                <w:rFonts w:ascii="Arial" w:eastAsia="Times New Roman" w:hAnsi="Arial" w:cs="Arial"/>
                <w:color w:val="000000"/>
                <w:sz w:val="20"/>
                <w:szCs w:val="20"/>
                <w:lang w:eastAsia="es-MX"/>
              </w:rPr>
            </w:pPr>
            <w:r w:rsidRPr="005B45A7">
              <w:rPr>
                <w:rFonts w:ascii="Arial" w:eastAsia="Times New Roman" w:hAnsi="Arial" w:cs="Arial"/>
                <w:color w:val="000000"/>
                <w:sz w:val="20"/>
                <w:szCs w:val="20"/>
                <w:lang w:eastAsia="es-MX"/>
              </w:rPr>
              <w:t>03/02/2016</w:t>
            </w:r>
          </w:p>
        </w:tc>
        <w:tc>
          <w:tcPr>
            <w:tcW w:w="836" w:type="pct"/>
            <w:tcBorders>
              <w:top w:val="nil"/>
              <w:left w:val="nil"/>
              <w:bottom w:val="single" w:sz="4" w:space="0" w:color="auto"/>
              <w:right w:val="single" w:sz="4" w:space="0" w:color="auto"/>
            </w:tcBorders>
            <w:shd w:val="clear" w:color="auto" w:fill="auto"/>
            <w:noWrap/>
            <w:vAlign w:val="bottom"/>
            <w:hideMark/>
          </w:tcPr>
          <w:p w:rsidR="005B45A7" w:rsidRPr="005B45A7" w:rsidRDefault="005B45A7" w:rsidP="00DB0C3F">
            <w:pPr>
              <w:spacing w:after="0" w:line="240" w:lineRule="auto"/>
              <w:rPr>
                <w:rFonts w:ascii="Arial" w:eastAsia="Times New Roman" w:hAnsi="Arial" w:cs="Arial"/>
                <w:color w:val="000000"/>
                <w:sz w:val="20"/>
                <w:szCs w:val="20"/>
                <w:lang w:eastAsia="es-MX"/>
              </w:rPr>
            </w:pPr>
            <w:r w:rsidRPr="005B45A7">
              <w:rPr>
                <w:rFonts w:ascii="Arial" w:eastAsia="Times New Roman" w:hAnsi="Arial" w:cs="Arial"/>
                <w:color w:val="000000"/>
                <w:sz w:val="20"/>
                <w:szCs w:val="20"/>
                <w:lang w:eastAsia="es-MX"/>
              </w:rPr>
              <w:t>C00081 /</w:t>
            </w:r>
          </w:p>
        </w:tc>
        <w:tc>
          <w:tcPr>
            <w:tcW w:w="2283" w:type="pct"/>
            <w:tcBorders>
              <w:top w:val="nil"/>
              <w:left w:val="nil"/>
              <w:bottom w:val="single" w:sz="4" w:space="0" w:color="auto"/>
              <w:right w:val="single" w:sz="4" w:space="0" w:color="auto"/>
            </w:tcBorders>
            <w:shd w:val="clear" w:color="auto" w:fill="auto"/>
            <w:noWrap/>
            <w:vAlign w:val="center"/>
            <w:hideMark/>
          </w:tcPr>
          <w:p w:rsidR="005B45A7" w:rsidRPr="005B45A7" w:rsidRDefault="005B45A7" w:rsidP="00DB0C3F">
            <w:pPr>
              <w:spacing w:after="0" w:line="240" w:lineRule="auto"/>
              <w:rPr>
                <w:rFonts w:ascii="Arial" w:eastAsia="Times New Roman" w:hAnsi="Arial" w:cs="Arial"/>
                <w:color w:val="000000"/>
                <w:sz w:val="20"/>
                <w:szCs w:val="20"/>
                <w:lang w:eastAsia="es-MX"/>
              </w:rPr>
            </w:pPr>
            <w:r w:rsidRPr="005B45A7">
              <w:rPr>
                <w:rFonts w:ascii="Arial" w:eastAsia="Times New Roman" w:hAnsi="Arial" w:cs="Arial"/>
                <w:color w:val="000000"/>
                <w:sz w:val="20"/>
                <w:szCs w:val="20"/>
                <w:lang w:eastAsia="es-MX"/>
              </w:rPr>
              <w:t xml:space="preserve">  Ángel Tomas Wong Dan</w:t>
            </w:r>
          </w:p>
        </w:tc>
        <w:tc>
          <w:tcPr>
            <w:tcW w:w="1044" w:type="pct"/>
            <w:tcBorders>
              <w:top w:val="nil"/>
              <w:left w:val="nil"/>
              <w:bottom w:val="single" w:sz="4" w:space="0" w:color="auto"/>
              <w:right w:val="single" w:sz="4" w:space="0" w:color="auto"/>
            </w:tcBorders>
            <w:shd w:val="clear" w:color="auto" w:fill="auto"/>
            <w:noWrap/>
            <w:vAlign w:val="center"/>
            <w:hideMark/>
          </w:tcPr>
          <w:p w:rsidR="005B45A7" w:rsidRPr="005B45A7" w:rsidRDefault="005B45A7" w:rsidP="00DB0C3F">
            <w:pPr>
              <w:spacing w:after="0" w:line="240" w:lineRule="auto"/>
              <w:jc w:val="right"/>
              <w:rPr>
                <w:rFonts w:ascii="Arial" w:eastAsia="Times New Roman" w:hAnsi="Arial" w:cs="Arial"/>
                <w:color w:val="000000"/>
                <w:sz w:val="20"/>
                <w:szCs w:val="20"/>
                <w:lang w:eastAsia="es-MX"/>
              </w:rPr>
            </w:pPr>
            <w:r w:rsidRPr="005B45A7">
              <w:rPr>
                <w:rFonts w:ascii="Arial" w:eastAsia="Times New Roman" w:hAnsi="Arial" w:cs="Arial"/>
                <w:color w:val="000000"/>
                <w:sz w:val="20"/>
                <w:szCs w:val="20"/>
                <w:lang w:eastAsia="es-MX"/>
              </w:rPr>
              <w:t xml:space="preserve">15,000.00 </w:t>
            </w:r>
          </w:p>
        </w:tc>
      </w:tr>
      <w:tr w:rsidR="005B45A7" w:rsidRPr="005B45A7" w:rsidTr="00511D2F">
        <w:trPr>
          <w:trHeight w:val="300"/>
        </w:trPr>
        <w:tc>
          <w:tcPr>
            <w:tcW w:w="837" w:type="pct"/>
            <w:tcBorders>
              <w:top w:val="nil"/>
              <w:left w:val="single" w:sz="4" w:space="0" w:color="auto"/>
              <w:bottom w:val="single" w:sz="4" w:space="0" w:color="auto"/>
              <w:right w:val="single" w:sz="4" w:space="0" w:color="auto"/>
            </w:tcBorders>
            <w:shd w:val="clear" w:color="auto" w:fill="auto"/>
            <w:noWrap/>
            <w:vAlign w:val="center"/>
            <w:hideMark/>
          </w:tcPr>
          <w:p w:rsidR="005B45A7" w:rsidRPr="005B45A7" w:rsidRDefault="005B45A7" w:rsidP="00DB0C3F">
            <w:pPr>
              <w:spacing w:after="0" w:line="240" w:lineRule="auto"/>
              <w:rPr>
                <w:rFonts w:ascii="Arial" w:eastAsia="Times New Roman" w:hAnsi="Arial" w:cs="Arial"/>
                <w:color w:val="000000"/>
                <w:sz w:val="20"/>
                <w:szCs w:val="20"/>
                <w:lang w:eastAsia="es-MX"/>
              </w:rPr>
            </w:pPr>
            <w:r w:rsidRPr="005B45A7">
              <w:rPr>
                <w:rFonts w:ascii="Arial" w:eastAsia="Times New Roman" w:hAnsi="Arial" w:cs="Arial"/>
                <w:color w:val="000000"/>
                <w:sz w:val="20"/>
                <w:szCs w:val="20"/>
                <w:lang w:eastAsia="es-MX"/>
              </w:rPr>
              <w:t>15/02/2016</w:t>
            </w:r>
          </w:p>
        </w:tc>
        <w:tc>
          <w:tcPr>
            <w:tcW w:w="836" w:type="pct"/>
            <w:tcBorders>
              <w:top w:val="nil"/>
              <w:left w:val="nil"/>
              <w:bottom w:val="single" w:sz="4" w:space="0" w:color="auto"/>
              <w:right w:val="single" w:sz="4" w:space="0" w:color="auto"/>
            </w:tcBorders>
            <w:shd w:val="clear" w:color="auto" w:fill="auto"/>
            <w:noWrap/>
            <w:vAlign w:val="bottom"/>
            <w:hideMark/>
          </w:tcPr>
          <w:p w:rsidR="005B45A7" w:rsidRPr="005B45A7" w:rsidRDefault="005B45A7" w:rsidP="00DB0C3F">
            <w:pPr>
              <w:spacing w:after="0" w:line="240" w:lineRule="auto"/>
              <w:rPr>
                <w:rFonts w:ascii="Arial" w:eastAsia="Times New Roman" w:hAnsi="Arial" w:cs="Arial"/>
                <w:color w:val="000000"/>
                <w:sz w:val="20"/>
                <w:szCs w:val="20"/>
                <w:lang w:eastAsia="es-MX"/>
              </w:rPr>
            </w:pPr>
            <w:r w:rsidRPr="005B45A7">
              <w:rPr>
                <w:rFonts w:ascii="Arial" w:eastAsia="Times New Roman" w:hAnsi="Arial" w:cs="Arial"/>
                <w:color w:val="000000"/>
                <w:sz w:val="20"/>
                <w:szCs w:val="20"/>
                <w:lang w:eastAsia="es-MX"/>
              </w:rPr>
              <w:t>C00070 /</w:t>
            </w:r>
          </w:p>
        </w:tc>
        <w:tc>
          <w:tcPr>
            <w:tcW w:w="2283" w:type="pct"/>
            <w:tcBorders>
              <w:top w:val="nil"/>
              <w:left w:val="nil"/>
              <w:bottom w:val="single" w:sz="4" w:space="0" w:color="auto"/>
              <w:right w:val="single" w:sz="4" w:space="0" w:color="auto"/>
            </w:tcBorders>
            <w:shd w:val="clear" w:color="auto" w:fill="auto"/>
            <w:noWrap/>
            <w:vAlign w:val="center"/>
            <w:hideMark/>
          </w:tcPr>
          <w:p w:rsidR="005B45A7" w:rsidRPr="005B45A7" w:rsidRDefault="005B45A7" w:rsidP="00DB0C3F">
            <w:pPr>
              <w:spacing w:after="0" w:line="240" w:lineRule="auto"/>
              <w:rPr>
                <w:rFonts w:ascii="Arial" w:eastAsia="Times New Roman" w:hAnsi="Arial" w:cs="Arial"/>
                <w:color w:val="000000"/>
                <w:sz w:val="20"/>
                <w:szCs w:val="20"/>
                <w:lang w:eastAsia="es-MX"/>
              </w:rPr>
            </w:pPr>
            <w:r w:rsidRPr="005B45A7">
              <w:rPr>
                <w:rFonts w:ascii="Arial" w:eastAsia="Times New Roman" w:hAnsi="Arial" w:cs="Arial"/>
                <w:color w:val="000000"/>
                <w:sz w:val="20"/>
                <w:szCs w:val="20"/>
                <w:lang w:eastAsia="es-MX"/>
              </w:rPr>
              <w:t xml:space="preserve">  Rosa María Bernardino Villalvazo</w:t>
            </w:r>
          </w:p>
        </w:tc>
        <w:tc>
          <w:tcPr>
            <w:tcW w:w="1044" w:type="pct"/>
            <w:tcBorders>
              <w:top w:val="nil"/>
              <w:left w:val="nil"/>
              <w:bottom w:val="single" w:sz="4" w:space="0" w:color="auto"/>
              <w:right w:val="single" w:sz="4" w:space="0" w:color="auto"/>
            </w:tcBorders>
            <w:shd w:val="clear" w:color="auto" w:fill="auto"/>
            <w:noWrap/>
            <w:vAlign w:val="center"/>
            <w:hideMark/>
          </w:tcPr>
          <w:p w:rsidR="005B45A7" w:rsidRPr="005B45A7" w:rsidRDefault="005B45A7" w:rsidP="00DB0C3F">
            <w:pPr>
              <w:spacing w:after="0" w:line="240" w:lineRule="auto"/>
              <w:jc w:val="right"/>
              <w:rPr>
                <w:rFonts w:ascii="Arial" w:eastAsia="Times New Roman" w:hAnsi="Arial" w:cs="Arial"/>
                <w:color w:val="000000"/>
                <w:sz w:val="20"/>
                <w:szCs w:val="20"/>
                <w:lang w:eastAsia="es-MX"/>
              </w:rPr>
            </w:pPr>
            <w:r w:rsidRPr="005B45A7">
              <w:rPr>
                <w:rFonts w:ascii="Arial" w:eastAsia="Times New Roman" w:hAnsi="Arial" w:cs="Arial"/>
                <w:color w:val="000000"/>
                <w:sz w:val="20"/>
                <w:szCs w:val="20"/>
                <w:lang w:eastAsia="es-MX"/>
              </w:rPr>
              <w:t xml:space="preserve">2,750.00 </w:t>
            </w:r>
          </w:p>
        </w:tc>
      </w:tr>
      <w:tr w:rsidR="005B45A7" w:rsidRPr="005B45A7" w:rsidTr="00511D2F">
        <w:trPr>
          <w:trHeight w:val="300"/>
        </w:trPr>
        <w:tc>
          <w:tcPr>
            <w:tcW w:w="837" w:type="pct"/>
            <w:tcBorders>
              <w:top w:val="nil"/>
              <w:left w:val="single" w:sz="4" w:space="0" w:color="auto"/>
              <w:bottom w:val="single" w:sz="4" w:space="0" w:color="auto"/>
              <w:right w:val="single" w:sz="4" w:space="0" w:color="auto"/>
            </w:tcBorders>
            <w:shd w:val="clear" w:color="auto" w:fill="auto"/>
            <w:noWrap/>
            <w:vAlign w:val="center"/>
            <w:hideMark/>
          </w:tcPr>
          <w:p w:rsidR="005B45A7" w:rsidRPr="005B45A7" w:rsidRDefault="005B45A7" w:rsidP="00DB0C3F">
            <w:pPr>
              <w:spacing w:after="0" w:line="240" w:lineRule="auto"/>
              <w:rPr>
                <w:rFonts w:ascii="Arial" w:eastAsia="Times New Roman" w:hAnsi="Arial" w:cs="Arial"/>
                <w:color w:val="000000"/>
                <w:sz w:val="20"/>
                <w:szCs w:val="20"/>
                <w:lang w:eastAsia="es-MX"/>
              </w:rPr>
            </w:pPr>
            <w:r w:rsidRPr="005B45A7">
              <w:rPr>
                <w:rFonts w:ascii="Arial" w:eastAsia="Times New Roman" w:hAnsi="Arial" w:cs="Arial"/>
                <w:color w:val="000000"/>
                <w:sz w:val="20"/>
                <w:szCs w:val="20"/>
                <w:lang w:eastAsia="es-MX"/>
              </w:rPr>
              <w:t>15/02/2016</w:t>
            </w:r>
          </w:p>
        </w:tc>
        <w:tc>
          <w:tcPr>
            <w:tcW w:w="836" w:type="pct"/>
            <w:tcBorders>
              <w:top w:val="nil"/>
              <w:left w:val="nil"/>
              <w:bottom w:val="single" w:sz="4" w:space="0" w:color="auto"/>
              <w:right w:val="single" w:sz="4" w:space="0" w:color="auto"/>
            </w:tcBorders>
            <w:shd w:val="clear" w:color="auto" w:fill="auto"/>
            <w:noWrap/>
            <w:vAlign w:val="bottom"/>
            <w:hideMark/>
          </w:tcPr>
          <w:p w:rsidR="005B45A7" w:rsidRPr="005B45A7" w:rsidRDefault="005B45A7" w:rsidP="00DB0C3F">
            <w:pPr>
              <w:spacing w:after="0" w:line="240" w:lineRule="auto"/>
              <w:rPr>
                <w:rFonts w:ascii="Arial" w:eastAsia="Times New Roman" w:hAnsi="Arial" w:cs="Arial"/>
                <w:color w:val="000000"/>
                <w:sz w:val="20"/>
                <w:szCs w:val="20"/>
                <w:lang w:eastAsia="es-MX"/>
              </w:rPr>
            </w:pPr>
            <w:r w:rsidRPr="005B45A7">
              <w:rPr>
                <w:rFonts w:ascii="Arial" w:eastAsia="Times New Roman" w:hAnsi="Arial" w:cs="Arial"/>
                <w:color w:val="000000"/>
                <w:sz w:val="20"/>
                <w:szCs w:val="20"/>
                <w:lang w:eastAsia="es-MX"/>
              </w:rPr>
              <w:t>C00072 /</w:t>
            </w:r>
          </w:p>
        </w:tc>
        <w:tc>
          <w:tcPr>
            <w:tcW w:w="2283" w:type="pct"/>
            <w:tcBorders>
              <w:top w:val="nil"/>
              <w:left w:val="nil"/>
              <w:bottom w:val="single" w:sz="4" w:space="0" w:color="auto"/>
              <w:right w:val="single" w:sz="4" w:space="0" w:color="auto"/>
            </w:tcBorders>
            <w:shd w:val="clear" w:color="auto" w:fill="auto"/>
            <w:noWrap/>
            <w:vAlign w:val="center"/>
            <w:hideMark/>
          </w:tcPr>
          <w:p w:rsidR="005B45A7" w:rsidRPr="005B45A7" w:rsidRDefault="005B45A7" w:rsidP="00DB0C3F">
            <w:pPr>
              <w:spacing w:after="0" w:line="240" w:lineRule="auto"/>
              <w:rPr>
                <w:rFonts w:ascii="Arial" w:eastAsia="Times New Roman" w:hAnsi="Arial" w:cs="Arial"/>
                <w:color w:val="000000"/>
                <w:sz w:val="20"/>
                <w:szCs w:val="20"/>
                <w:lang w:eastAsia="es-MX"/>
              </w:rPr>
            </w:pPr>
            <w:r w:rsidRPr="005B45A7">
              <w:rPr>
                <w:rFonts w:ascii="Arial" w:eastAsia="Times New Roman" w:hAnsi="Arial" w:cs="Arial"/>
                <w:color w:val="000000"/>
                <w:sz w:val="20"/>
                <w:szCs w:val="20"/>
                <w:lang w:eastAsia="es-MX"/>
              </w:rPr>
              <w:t xml:space="preserve">  Francisco Rene Pérez Hernández</w:t>
            </w:r>
          </w:p>
        </w:tc>
        <w:tc>
          <w:tcPr>
            <w:tcW w:w="1044" w:type="pct"/>
            <w:tcBorders>
              <w:top w:val="nil"/>
              <w:left w:val="nil"/>
              <w:bottom w:val="single" w:sz="4" w:space="0" w:color="auto"/>
              <w:right w:val="single" w:sz="4" w:space="0" w:color="auto"/>
            </w:tcBorders>
            <w:shd w:val="clear" w:color="auto" w:fill="auto"/>
            <w:noWrap/>
            <w:vAlign w:val="center"/>
            <w:hideMark/>
          </w:tcPr>
          <w:p w:rsidR="005B45A7" w:rsidRPr="005B45A7" w:rsidRDefault="005B45A7" w:rsidP="00DB0C3F">
            <w:pPr>
              <w:spacing w:after="0" w:line="240" w:lineRule="auto"/>
              <w:jc w:val="right"/>
              <w:rPr>
                <w:rFonts w:ascii="Arial" w:eastAsia="Times New Roman" w:hAnsi="Arial" w:cs="Arial"/>
                <w:color w:val="000000"/>
                <w:sz w:val="20"/>
                <w:szCs w:val="20"/>
                <w:lang w:eastAsia="es-MX"/>
              </w:rPr>
            </w:pPr>
            <w:r w:rsidRPr="005B45A7">
              <w:rPr>
                <w:rFonts w:ascii="Arial" w:eastAsia="Times New Roman" w:hAnsi="Arial" w:cs="Arial"/>
                <w:color w:val="000000"/>
                <w:sz w:val="20"/>
                <w:szCs w:val="20"/>
                <w:lang w:eastAsia="es-MX"/>
              </w:rPr>
              <w:t xml:space="preserve">7,500.00 </w:t>
            </w:r>
          </w:p>
        </w:tc>
      </w:tr>
      <w:tr w:rsidR="005B45A7" w:rsidRPr="005B45A7" w:rsidTr="00511D2F">
        <w:trPr>
          <w:trHeight w:val="300"/>
        </w:trPr>
        <w:tc>
          <w:tcPr>
            <w:tcW w:w="837" w:type="pct"/>
            <w:tcBorders>
              <w:top w:val="nil"/>
              <w:left w:val="single" w:sz="4" w:space="0" w:color="auto"/>
              <w:bottom w:val="single" w:sz="4" w:space="0" w:color="auto"/>
              <w:right w:val="single" w:sz="4" w:space="0" w:color="auto"/>
            </w:tcBorders>
            <w:shd w:val="clear" w:color="auto" w:fill="auto"/>
            <w:noWrap/>
            <w:vAlign w:val="center"/>
            <w:hideMark/>
          </w:tcPr>
          <w:p w:rsidR="005B45A7" w:rsidRPr="005B45A7" w:rsidRDefault="005B45A7" w:rsidP="00DB0C3F">
            <w:pPr>
              <w:spacing w:after="0" w:line="240" w:lineRule="auto"/>
              <w:rPr>
                <w:rFonts w:ascii="Arial" w:eastAsia="Times New Roman" w:hAnsi="Arial" w:cs="Arial"/>
                <w:color w:val="000000"/>
                <w:sz w:val="20"/>
                <w:szCs w:val="20"/>
                <w:lang w:eastAsia="es-MX"/>
              </w:rPr>
            </w:pPr>
            <w:r w:rsidRPr="005B45A7">
              <w:rPr>
                <w:rFonts w:ascii="Arial" w:eastAsia="Times New Roman" w:hAnsi="Arial" w:cs="Arial"/>
                <w:color w:val="000000"/>
                <w:sz w:val="20"/>
                <w:szCs w:val="20"/>
                <w:lang w:eastAsia="es-MX"/>
              </w:rPr>
              <w:t>15/02/2016</w:t>
            </w:r>
          </w:p>
        </w:tc>
        <w:tc>
          <w:tcPr>
            <w:tcW w:w="836" w:type="pct"/>
            <w:tcBorders>
              <w:top w:val="nil"/>
              <w:left w:val="nil"/>
              <w:bottom w:val="single" w:sz="4" w:space="0" w:color="auto"/>
              <w:right w:val="single" w:sz="4" w:space="0" w:color="auto"/>
            </w:tcBorders>
            <w:shd w:val="clear" w:color="auto" w:fill="auto"/>
            <w:noWrap/>
            <w:vAlign w:val="bottom"/>
            <w:hideMark/>
          </w:tcPr>
          <w:p w:rsidR="005B45A7" w:rsidRPr="005B45A7" w:rsidRDefault="005B45A7" w:rsidP="00DB0C3F">
            <w:pPr>
              <w:spacing w:after="0" w:line="240" w:lineRule="auto"/>
              <w:rPr>
                <w:rFonts w:ascii="Arial" w:eastAsia="Times New Roman" w:hAnsi="Arial" w:cs="Arial"/>
                <w:color w:val="000000"/>
                <w:sz w:val="20"/>
                <w:szCs w:val="20"/>
                <w:lang w:eastAsia="es-MX"/>
              </w:rPr>
            </w:pPr>
            <w:r w:rsidRPr="005B45A7">
              <w:rPr>
                <w:rFonts w:ascii="Arial" w:eastAsia="Times New Roman" w:hAnsi="Arial" w:cs="Arial"/>
                <w:color w:val="000000"/>
                <w:sz w:val="20"/>
                <w:szCs w:val="20"/>
                <w:lang w:eastAsia="es-MX"/>
              </w:rPr>
              <w:t>C00073 /</w:t>
            </w:r>
          </w:p>
        </w:tc>
        <w:tc>
          <w:tcPr>
            <w:tcW w:w="2283" w:type="pct"/>
            <w:tcBorders>
              <w:top w:val="nil"/>
              <w:left w:val="nil"/>
              <w:bottom w:val="single" w:sz="4" w:space="0" w:color="auto"/>
              <w:right w:val="single" w:sz="4" w:space="0" w:color="auto"/>
            </w:tcBorders>
            <w:shd w:val="clear" w:color="auto" w:fill="auto"/>
            <w:noWrap/>
            <w:vAlign w:val="center"/>
            <w:hideMark/>
          </w:tcPr>
          <w:p w:rsidR="005B45A7" w:rsidRPr="005B45A7" w:rsidRDefault="005B45A7" w:rsidP="00DB0C3F">
            <w:pPr>
              <w:spacing w:after="0" w:line="240" w:lineRule="auto"/>
              <w:rPr>
                <w:rFonts w:ascii="Arial" w:eastAsia="Times New Roman" w:hAnsi="Arial" w:cs="Arial"/>
                <w:color w:val="000000"/>
                <w:sz w:val="20"/>
                <w:szCs w:val="20"/>
                <w:lang w:eastAsia="es-MX"/>
              </w:rPr>
            </w:pPr>
            <w:r w:rsidRPr="005B45A7">
              <w:rPr>
                <w:rFonts w:ascii="Arial" w:eastAsia="Times New Roman" w:hAnsi="Arial" w:cs="Arial"/>
                <w:color w:val="000000"/>
                <w:sz w:val="20"/>
                <w:szCs w:val="20"/>
                <w:lang w:eastAsia="es-MX"/>
              </w:rPr>
              <w:t xml:space="preserve">  Martha Idalia Fuentes Sánchez</w:t>
            </w:r>
          </w:p>
        </w:tc>
        <w:tc>
          <w:tcPr>
            <w:tcW w:w="1044" w:type="pct"/>
            <w:tcBorders>
              <w:top w:val="nil"/>
              <w:left w:val="nil"/>
              <w:bottom w:val="single" w:sz="4" w:space="0" w:color="auto"/>
              <w:right w:val="single" w:sz="4" w:space="0" w:color="auto"/>
            </w:tcBorders>
            <w:shd w:val="clear" w:color="auto" w:fill="auto"/>
            <w:noWrap/>
            <w:vAlign w:val="center"/>
            <w:hideMark/>
          </w:tcPr>
          <w:p w:rsidR="005B45A7" w:rsidRPr="005B45A7" w:rsidRDefault="005B45A7" w:rsidP="00DB0C3F">
            <w:pPr>
              <w:spacing w:after="0" w:line="240" w:lineRule="auto"/>
              <w:jc w:val="right"/>
              <w:rPr>
                <w:rFonts w:ascii="Arial" w:eastAsia="Times New Roman" w:hAnsi="Arial" w:cs="Arial"/>
                <w:color w:val="000000"/>
                <w:sz w:val="20"/>
                <w:szCs w:val="20"/>
                <w:lang w:eastAsia="es-MX"/>
              </w:rPr>
            </w:pPr>
            <w:r w:rsidRPr="005B45A7">
              <w:rPr>
                <w:rFonts w:ascii="Arial" w:eastAsia="Times New Roman" w:hAnsi="Arial" w:cs="Arial"/>
                <w:color w:val="000000"/>
                <w:sz w:val="20"/>
                <w:szCs w:val="20"/>
                <w:lang w:eastAsia="es-MX"/>
              </w:rPr>
              <w:t>2,750.00</w:t>
            </w:r>
          </w:p>
        </w:tc>
      </w:tr>
      <w:tr w:rsidR="005B45A7" w:rsidRPr="005B45A7" w:rsidTr="00511D2F">
        <w:trPr>
          <w:trHeight w:val="300"/>
        </w:trPr>
        <w:tc>
          <w:tcPr>
            <w:tcW w:w="837" w:type="pct"/>
            <w:tcBorders>
              <w:top w:val="nil"/>
              <w:left w:val="single" w:sz="4" w:space="0" w:color="auto"/>
              <w:bottom w:val="single" w:sz="4" w:space="0" w:color="auto"/>
              <w:right w:val="single" w:sz="4" w:space="0" w:color="auto"/>
            </w:tcBorders>
            <w:shd w:val="clear" w:color="auto" w:fill="auto"/>
            <w:noWrap/>
            <w:vAlign w:val="center"/>
            <w:hideMark/>
          </w:tcPr>
          <w:p w:rsidR="005B45A7" w:rsidRPr="005B45A7" w:rsidRDefault="005B45A7" w:rsidP="00DB0C3F">
            <w:pPr>
              <w:spacing w:after="0" w:line="240" w:lineRule="auto"/>
              <w:rPr>
                <w:rFonts w:ascii="Arial" w:eastAsia="Times New Roman" w:hAnsi="Arial" w:cs="Arial"/>
                <w:color w:val="000000"/>
                <w:sz w:val="20"/>
                <w:szCs w:val="20"/>
                <w:lang w:eastAsia="es-MX"/>
              </w:rPr>
            </w:pPr>
            <w:r w:rsidRPr="005B45A7">
              <w:rPr>
                <w:rFonts w:ascii="Arial" w:eastAsia="Times New Roman" w:hAnsi="Arial" w:cs="Arial"/>
                <w:color w:val="000000"/>
                <w:sz w:val="20"/>
                <w:szCs w:val="20"/>
                <w:lang w:eastAsia="es-MX"/>
              </w:rPr>
              <w:t>16/02/2016</w:t>
            </w:r>
          </w:p>
        </w:tc>
        <w:tc>
          <w:tcPr>
            <w:tcW w:w="836" w:type="pct"/>
            <w:tcBorders>
              <w:top w:val="nil"/>
              <w:left w:val="nil"/>
              <w:bottom w:val="single" w:sz="4" w:space="0" w:color="auto"/>
              <w:right w:val="single" w:sz="4" w:space="0" w:color="auto"/>
            </w:tcBorders>
            <w:shd w:val="clear" w:color="auto" w:fill="auto"/>
            <w:noWrap/>
            <w:vAlign w:val="bottom"/>
            <w:hideMark/>
          </w:tcPr>
          <w:p w:rsidR="005B45A7" w:rsidRPr="005B45A7" w:rsidRDefault="005B45A7" w:rsidP="00DB0C3F">
            <w:pPr>
              <w:spacing w:after="0" w:line="240" w:lineRule="auto"/>
              <w:rPr>
                <w:rFonts w:ascii="Arial" w:eastAsia="Times New Roman" w:hAnsi="Arial" w:cs="Arial"/>
                <w:color w:val="000000"/>
                <w:sz w:val="20"/>
                <w:szCs w:val="20"/>
                <w:lang w:eastAsia="es-MX"/>
              </w:rPr>
            </w:pPr>
            <w:r w:rsidRPr="005B45A7">
              <w:rPr>
                <w:rFonts w:ascii="Arial" w:eastAsia="Times New Roman" w:hAnsi="Arial" w:cs="Arial"/>
                <w:color w:val="000000"/>
                <w:sz w:val="20"/>
                <w:szCs w:val="20"/>
                <w:lang w:eastAsia="es-MX"/>
              </w:rPr>
              <w:t>C00071 /</w:t>
            </w:r>
          </w:p>
        </w:tc>
        <w:tc>
          <w:tcPr>
            <w:tcW w:w="2283" w:type="pct"/>
            <w:tcBorders>
              <w:top w:val="nil"/>
              <w:left w:val="nil"/>
              <w:bottom w:val="single" w:sz="4" w:space="0" w:color="auto"/>
              <w:right w:val="single" w:sz="4" w:space="0" w:color="auto"/>
            </w:tcBorders>
            <w:shd w:val="clear" w:color="auto" w:fill="auto"/>
            <w:noWrap/>
            <w:vAlign w:val="center"/>
            <w:hideMark/>
          </w:tcPr>
          <w:p w:rsidR="005B45A7" w:rsidRPr="005B45A7" w:rsidRDefault="005B45A7" w:rsidP="00DB0C3F">
            <w:pPr>
              <w:spacing w:after="0" w:line="240" w:lineRule="auto"/>
              <w:rPr>
                <w:rFonts w:ascii="Arial" w:eastAsia="Times New Roman" w:hAnsi="Arial" w:cs="Arial"/>
                <w:color w:val="000000"/>
                <w:sz w:val="20"/>
                <w:szCs w:val="20"/>
                <w:lang w:eastAsia="es-MX"/>
              </w:rPr>
            </w:pPr>
            <w:r w:rsidRPr="005B45A7">
              <w:rPr>
                <w:rFonts w:ascii="Arial" w:eastAsia="Times New Roman" w:hAnsi="Arial" w:cs="Arial"/>
                <w:color w:val="000000"/>
                <w:sz w:val="20"/>
                <w:szCs w:val="20"/>
                <w:lang w:eastAsia="es-MX"/>
              </w:rPr>
              <w:t xml:space="preserve">  Ángel Tomas Wong Dan</w:t>
            </w:r>
          </w:p>
        </w:tc>
        <w:tc>
          <w:tcPr>
            <w:tcW w:w="1044" w:type="pct"/>
            <w:tcBorders>
              <w:top w:val="nil"/>
              <w:left w:val="nil"/>
              <w:bottom w:val="single" w:sz="4" w:space="0" w:color="auto"/>
              <w:right w:val="single" w:sz="4" w:space="0" w:color="auto"/>
            </w:tcBorders>
            <w:shd w:val="clear" w:color="auto" w:fill="auto"/>
            <w:noWrap/>
            <w:vAlign w:val="center"/>
            <w:hideMark/>
          </w:tcPr>
          <w:p w:rsidR="005B45A7" w:rsidRPr="005B45A7" w:rsidRDefault="005B45A7" w:rsidP="00DB0C3F">
            <w:pPr>
              <w:spacing w:after="0" w:line="240" w:lineRule="auto"/>
              <w:jc w:val="right"/>
              <w:rPr>
                <w:rFonts w:ascii="Arial" w:eastAsia="Times New Roman" w:hAnsi="Arial" w:cs="Arial"/>
                <w:color w:val="000000"/>
                <w:sz w:val="20"/>
                <w:szCs w:val="20"/>
                <w:lang w:eastAsia="es-MX"/>
              </w:rPr>
            </w:pPr>
            <w:r w:rsidRPr="005B45A7">
              <w:rPr>
                <w:rFonts w:ascii="Arial" w:eastAsia="Times New Roman" w:hAnsi="Arial" w:cs="Arial"/>
                <w:color w:val="000000"/>
                <w:sz w:val="20"/>
                <w:szCs w:val="20"/>
                <w:lang w:eastAsia="es-MX"/>
              </w:rPr>
              <w:t xml:space="preserve">15,000.00 </w:t>
            </w:r>
          </w:p>
        </w:tc>
      </w:tr>
      <w:tr w:rsidR="005B45A7" w:rsidRPr="005B45A7" w:rsidTr="00511D2F">
        <w:trPr>
          <w:trHeight w:val="300"/>
        </w:trPr>
        <w:tc>
          <w:tcPr>
            <w:tcW w:w="837" w:type="pct"/>
            <w:tcBorders>
              <w:top w:val="single" w:sz="4" w:space="0" w:color="auto"/>
            </w:tcBorders>
            <w:shd w:val="clear" w:color="auto" w:fill="auto"/>
            <w:noWrap/>
            <w:vAlign w:val="center"/>
          </w:tcPr>
          <w:p w:rsidR="005B45A7" w:rsidRPr="005B45A7" w:rsidRDefault="005B45A7" w:rsidP="00DB0C3F">
            <w:pPr>
              <w:pStyle w:val="Prrafodelista"/>
              <w:spacing w:after="0" w:line="240" w:lineRule="auto"/>
              <w:rPr>
                <w:rFonts w:ascii="Arial" w:eastAsia="Times New Roman" w:hAnsi="Arial" w:cs="Arial"/>
                <w:color w:val="000000"/>
                <w:sz w:val="20"/>
                <w:szCs w:val="20"/>
                <w:lang w:eastAsia="es-MX"/>
              </w:rPr>
            </w:pPr>
          </w:p>
        </w:tc>
        <w:tc>
          <w:tcPr>
            <w:tcW w:w="836" w:type="pct"/>
            <w:tcBorders>
              <w:top w:val="single" w:sz="4" w:space="0" w:color="auto"/>
            </w:tcBorders>
            <w:shd w:val="clear" w:color="auto" w:fill="auto"/>
            <w:noWrap/>
            <w:vAlign w:val="bottom"/>
          </w:tcPr>
          <w:p w:rsidR="005B45A7" w:rsidRPr="005B45A7" w:rsidRDefault="005B45A7" w:rsidP="00DB0C3F">
            <w:pPr>
              <w:spacing w:after="0" w:line="240" w:lineRule="auto"/>
              <w:rPr>
                <w:rFonts w:ascii="Arial" w:eastAsia="Times New Roman" w:hAnsi="Arial" w:cs="Arial"/>
                <w:color w:val="000000"/>
                <w:sz w:val="20"/>
                <w:szCs w:val="20"/>
                <w:lang w:eastAsia="es-MX"/>
              </w:rPr>
            </w:pPr>
          </w:p>
        </w:tc>
        <w:tc>
          <w:tcPr>
            <w:tcW w:w="2283" w:type="pct"/>
            <w:tcBorders>
              <w:top w:val="single" w:sz="4" w:space="0" w:color="auto"/>
              <w:right w:val="single" w:sz="4" w:space="0" w:color="auto"/>
            </w:tcBorders>
            <w:shd w:val="clear" w:color="auto" w:fill="auto"/>
            <w:noWrap/>
            <w:vAlign w:val="center"/>
          </w:tcPr>
          <w:p w:rsidR="005B45A7" w:rsidRPr="005B45A7" w:rsidRDefault="005B45A7" w:rsidP="00DB0C3F">
            <w:pPr>
              <w:spacing w:after="0" w:line="240" w:lineRule="auto"/>
              <w:jc w:val="right"/>
              <w:rPr>
                <w:rFonts w:ascii="Arial" w:eastAsia="Times New Roman" w:hAnsi="Arial" w:cs="Arial"/>
                <w:b/>
                <w:color w:val="000000"/>
                <w:sz w:val="20"/>
                <w:szCs w:val="20"/>
                <w:lang w:eastAsia="es-MX"/>
              </w:rPr>
            </w:pPr>
          </w:p>
        </w:tc>
        <w:tc>
          <w:tcPr>
            <w:tcW w:w="10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B45A7" w:rsidRPr="005B45A7" w:rsidRDefault="005B45A7" w:rsidP="00DB0C3F">
            <w:pPr>
              <w:spacing w:after="0" w:line="240" w:lineRule="auto"/>
              <w:jc w:val="right"/>
              <w:rPr>
                <w:rFonts w:ascii="Arial" w:eastAsia="Times New Roman" w:hAnsi="Arial" w:cs="Arial"/>
                <w:b/>
                <w:color w:val="000000"/>
                <w:sz w:val="20"/>
                <w:szCs w:val="20"/>
                <w:lang w:eastAsia="es-MX"/>
              </w:rPr>
            </w:pPr>
            <w:r w:rsidRPr="005B45A7">
              <w:rPr>
                <w:rFonts w:ascii="Arial" w:hAnsi="Arial" w:cs="Arial"/>
                <w:b/>
                <w:color w:val="000000"/>
                <w:sz w:val="20"/>
                <w:szCs w:val="20"/>
              </w:rPr>
              <w:t>56,000.00</w:t>
            </w:r>
          </w:p>
        </w:tc>
      </w:tr>
    </w:tbl>
    <w:p w:rsidR="005B45A7" w:rsidRPr="005B45A7" w:rsidRDefault="005B45A7" w:rsidP="005B45A7">
      <w:pPr>
        <w:spacing w:line="240" w:lineRule="auto"/>
        <w:jc w:val="both"/>
        <w:rPr>
          <w:rFonts w:ascii="Arial" w:hAnsi="Arial" w:cs="Arial"/>
          <w:color w:val="000000"/>
          <w:sz w:val="20"/>
          <w:szCs w:val="20"/>
        </w:rPr>
      </w:pPr>
      <w:r w:rsidRPr="005B45A7">
        <w:rPr>
          <w:rFonts w:ascii="Arial" w:hAnsi="Arial" w:cs="Arial"/>
          <w:color w:val="000000"/>
          <w:sz w:val="20"/>
          <w:szCs w:val="20"/>
        </w:rPr>
        <w:t>Así mismo y conforme a los contratos, se presenta una tabla con el monto total erogado para cada persona conforme a su contrato:</w:t>
      </w:r>
    </w:p>
    <w:tbl>
      <w:tblPr>
        <w:tblW w:w="5000" w:type="pct"/>
        <w:tblCellMar>
          <w:left w:w="70" w:type="dxa"/>
          <w:right w:w="70" w:type="dxa"/>
        </w:tblCellMar>
        <w:tblLook w:val="04A0"/>
      </w:tblPr>
      <w:tblGrid>
        <w:gridCol w:w="6162"/>
        <w:gridCol w:w="2818"/>
      </w:tblGrid>
      <w:tr w:rsidR="005B45A7" w:rsidRPr="005B45A7" w:rsidTr="00DB0C3F">
        <w:trPr>
          <w:trHeight w:val="255"/>
        </w:trPr>
        <w:tc>
          <w:tcPr>
            <w:tcW w:w="34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5A7" w:rsidRPr="005B45A7" w:rsidRDefault="005B45A7" w:rsidP="00DB0C3F">
            <w:pPr>
              <w:spacing w:after="0" w:line="240" w:lineRule="auto"/>
              <w:rPr>
                <w:rFonts w:ascii="Arial" w:eastAsia="Times New Roman" w:hAnsi="Arial" w:cs="Arial"/>
                <w:b/>
                <w:bCs/>
                <w:color w:val="000000"/>
                <w:sz w:val="20"/>
                <w:szCs w:val="20"/>
                <w:lang w:eastAsia="es-MX"/>
              </w:rPr>
            </w:pPr>
            <w:r w:rsidRPr="005B45A7">
              <w:rPr>
                <w:rFonts w:ascii="Arial" w:eastAsia="Times New Roman" w:hAnsi="Arial" w:cs="Arial"/>
                <w:b/>
                <w:bCs/>
                <w:color w:val="000000"/>
                <w:sz w:val="20"/>
                <w:szCs w:val="20"/>
                <w:lang w:eastAsia="es-MX"/>
              </w:rPr>
              <w:t>NOMBRE</w:t>
            </w:r>
          </w:p>
        </w:tc>
        <w:tc>
          <w:tcPr>
            <w:tcW w:w="1569" w:type="pct"/>
            <w:tcBorders>
              <w:top w:val="single" w:sz="4" w:space="0" w:color="auto"/>
              <w:left w:val="nil"/>
              <w:bottom w:val="single" w:sz="4" w:space="0" w:color="auto"/>
              <w:right w:val="single" w:sz="4" w:space="0" w:color="auto"/>
            </w:tcBorders>
            <w:shd w:val="clear" w:color="auto" w:fill="auto"/>
            <w:noWrap/>
            <w:vAlign w:val="center"/>
            <w:hideMark/>
          </w:tcPr>
          <w:p w:rsidR="005B45A7" w:rsidRPr="005B45A7" w:rsidRDefault="005B45A7" w:rsidP="00DB0C3F">
            <w:pPr>
              <w:spacing w:after="0" w:line="240" w:lineRule="auto"/>
              <w:rPr>
                <w:rFonts w:ascii="Arial" w:eastAsia="Times New Roman" w:hAnsi="Arial" w:cs="Arial"/>
                <w:b/>
                <w:bCs/>
                <w:color w:val="000000"/>
                <w:sz w:val="20"/>
                <w:szCs w:val="20"/>
                <w:lang w:eastAsia="es-MX"/>
              </w:rPr>
            </w:pPr>
            <w:r w:rsidRPr="005B45A7">
              <w:rPr>
                <w:rFonts w:ascii="Arial" w:eastAsia="Times New Roman" w:hAnsi="Arial" w:cs="Arial"/>
                <w:b/>
                <w:bCs/>
                <w:color w:val="000000"/>
                <w:sz w:val="20"/>
                <w:szCs w:val="20"/>
                <w:lang w:eastAsia="es-MX"/>
              </w:rPr>
              <w:t>MONTO</w:t>
            </w:r>
          </w:p>
        </w:tc>
      </w:tr>
      <w:tr w:rsidR="005B45A7" w:rsidRPr="005B45A7" w:rsidTr="00DB0C3F">
        <w:trPr>
          <w:trHeight w:val="300"/>
        </w:trPr>
        <w:tc>
          <w:tcPr>
            <w:tcW w:w="3431" w:type="pct"/>
            <w:tcBorders>
              <w:top w:val="nil"/>
              <w:left w:val="single" w:sz="4" w:space="0" w:color="auto"/>
              <w:bottom w:val="single" w:sz="4" w:space="0" w:color="auto"/>
              <w:right w:val="single" w:sz="4" w:space="0" w:color="auto"/>
            </w:tcBorders>
            <w:shd w:val="clear" w:color="auto" w:fill="auto"/>
            <w:noWrap/>
            <w:vAlign w:val="center"/>
            <w:hideMark/>
          </w:tcPr>
          <w:p w:rsidR="005B45A7" w:rsidRPr="005B45A7" w:rsidRDefault="005B45A7" w:rsidP="00DB0C3F">
            <w:pPr>
              <w:spacing w:after="0" w:line="240" w:lineRule="auto"/>
              <w:rPr>
                <w:rFonts w:ascii="Arial" w:eastAsia="Times New Roman" w:hAnsi="Arial" w:cs="Arial"/>
                <w:color w:val="000000"/>
                <w:sz w:val="20"/>
                <w:szCs w:val="20"/>
                <w:lang w:eastAsia="es-MX"/>
              </w:rPr>
            </w:pPr>
            <w:r w:rsidRPr="005B45A7">
              <w:rPr>
                <w:rFonts w:ascii="Arial" w:eastAsia="Times New Roman" w:hAnsi="Arial" w:cs="Arial"/>
                <w:color w:val="000000"/>
                <w:sz w:val="20"/>
                <w:szCs w:val="20"/>
                <w:lang w:eastAsia="es-MX"/>
              </w:rPr>
              <w:t xml:space="preserve">  Ángel Tomas Wong Dan</w:t>
            </w:r>
          </w:p>
        </w:tc>
        <w:tc>
          <w:tcPr>
            <w:tcW w:w="1569" w:type="pct"/>
            <w:tcBorders>
              <w:top w:val="nil"/>
              <w:left w:val="nil"/>
              <w:bottom w:val="single" w:sz="4" w:space="0" w:color="auto"/>
              <w:right w:val="single" w:sz="4" w:space="0" w:color="auto"/>
            </w:tcBorders>
            <w:shd w:val="clear" w:color="auto" w:fill="auto"/>
            <w:noWrap/>
            <w:vAlign w:val="center"/>
            <w:hideMark/>
          </w:tcPr>
          <w:p w:rsidR="005B45A7" w:rsidRPr="005B45A7" w:rsidRDefault="005B45A7" w:rsidP="00DB0C3F">
            <w:pPr>
              <w:spacing w:after="0" w:line="240" w:lineRule="auto"/>
              <w:jc w:val="right"/>
              <w:rPr>
                <w:rFonts w:ascii="Arial" w:eastAsia="Times New Roman" w:hAnsi="Arial" w:cs="Arial"/>
                <w:color w:val="000000"/>
                <w:sz w:val="20"/>
                <w:szCs w:val="20"/>
                <w:lang w:eastAsia="es-MX"/>
              </w:rPr>
            </w:pPr>
            <w:r w:rsidRPr="005B45A7">
              <w:rPr>
                <w:rFonts w:ascii="Arial" w:eastAsia="Times New Roman" w:hAnsi="Arial" w:cs="Arial"/>
                <w:color w:val="000000"/>
                <w:sz w:val="20"/>
                <w:szCs w:val="20"/>
                <w:lang w:eastAsia="es-MX"/>
              </w:rPr>
              <w:t xml:space="preserve">30,000.00 </w:t>
            </w:r>
          </w:p>
        </w:tc>
      </w:tr>
      <w:tr w:rsidR="005B45A7" w:rsidRPr="005B45A7" w:rsidTr="00DB0C3F">
        <w:trPr>
          <w:trHeight w:val="300"/>
        </w:trPr>
        <w:tc>
          <w:tcPr>
            <w:tcW w:w="3431" w:type="pct"/>
            <w:tcBorders>
              <w:top w:val="nil"/>
              <w:left w:val="single" w:sz="4" w:space="0" w:color="auto"/>
              <w:bottom w:val="single" w:sz="4" w:space="0" w:color="auto"/>
              <w:right w:val="single" w:sz="4" w:space="0" w:color="auto"/>
            </w:tcBorders>
            <w:shd w:val="clear" w:color="auto" w:fill="auto"/>
            <w:noWrap/>
            <w:vAlign w:val="center"/>
            <w:hideMark/>
          </w:tcPr>
          <w:p w:rsidR="005B45A7" w:rsidRPr="005B45A7" w:rsidRDefault="005B45A7" w:rsidP="00DB0C3F">
            <w:pPr>
              <w:spacing w:after="0" w:line="240" w:lineRule="auto"/>
              <w:rPr>
                <w:rFonts w:ascii="Arial" w:eastAsia="Times New Roman" w:hAnsi="Arial" w:cs="Arial"/>
                <w:color w:val="000000"/>
                <w:sz w:val="20"/>
                <w:szCs w:val="20"/>
                <w:lang w:eastAsia="es-MX"/>
              </w:rPr>
            </w:pPr>
            <w:r w:rsidRPr="005B45A7">
              <w:rPr>
                <w:rFonts w:ascii="Arial" w:eastAsia="Times New Roman" w:hAnsi="Arial" w:cs="Arial"/>
                <w:color w:val="000000"/>
                <w:sz w:val="20"/>
                <w:szCs w:val="20"/>
                <w:lang w:eastAsia="es-MX"/>
              </w:rPr>
              <w:t xml:space="preserve">  Francisco Rene Pérez Hernández</w:t>
            </w:r>
          </w:p>
        </w:tc>
        <w:tc>
          <w:tcPr>
            <w:tcW w:w="1569" w:type="pct"/>
            <w:tcBorders>
              <w:top w:val="nil"/>
              <w:left w:val="nil"/>
              <w:bottom w:val="single" w:sz="4" w:space="0" w:color="auto"/>
              <w:right w:val="single" w:sz="4" w:space="0" w:color="auto"/>
            </w:tcBorders>
            <w:shd w:val="clear" w:color="auto" w:fill="auto"/>
            <w:noWrap/>
            <w:vAlign w:val="center"/>
            <w:hideMark/>
          </w:tcPr>
          <w:p w:rsidR="005B45A7" w:rsidRPr="005B45A7" w:rsidRDefault="005B45A7" w:rsidP="00DB0C3F">
            <w:pPr>
              <w:spacing w:after="0" w:line="240" w:lineRule="auto"/>
              <w:jc w:val="right"/>
              <w:rPr>
                <w:rFonts w:ascii="Arial" w:eastAsia="Times New Roman" w:hAnsi="Arial" w:cs="Arial"/>
                <w:color w:val="000000"/>
                <w:sz w:val="20"/>
                <w:szCs w:val="20"/>
                <w:lang w:eastAsia="es-MX"/>
              </w:rPr>
            </w:pPr>
            <w:r w:rsidRPr="005B45A7">
              <w:rPr>
                <w:rFonts w:ascii="Arial" w:eastAsia="Times New Roman" w:hAnsi="Arial" w:cs="Arial"/>
                <w:color w:val="000000"/>
                <w:sz w:val="20"/>
                <w:szCs w:val="20"/>
                <w:lang w:eastAsia="es-MX"/>
              </w:rPr>
              <w:t xml:space="preserve">15,000.00 </w:t>
            </w:r>
          </w:p>
        </w:tc>
      </w:tr>
      <w:tr w:rsidR="005B45A7" w:rsidRPr="005B45A7" w:rsidTr="00DB0C3F">
        <w:trPr>
          <w:trHeight w:val="300"/>
        </w:trPr>
        <w:tc>
          <w:tcPr>
            <w:tcW w:w="3431" w:type="pct"/>
            <w:tcBorders>
              <w:top w:val="nil"/>
              <w:left w:val="single" w:sz="4" w:space="0" w:color="auto"/>
              <w:bottom w:val="single" w:sz="4" w:space="0" w:color="auto"/>
              <w:right w:val="single" w:sz="4" w:space="0" w:color="auto"/>
            </w:tcBorders>
            <w:shd w:val="clear" w:color="auto" w:fill="auto"/>
            <w:noWrap/>
            <w:vAlign w:val="center"/>
            <w:hideMark/>
          </w:tcPr>
          <w:p w:rsidR="005B45A7" w:rsidRPr="005B45A7" w:rsidRDefault="005B45A7" w:rsidP="00DB0C3F">
            <w:pPr>
              <w:spacing w:after="0" w:line="240" w:lineRule="auto"/>
              <w:rPr>
                <w:rFonts w:ascii="Arial" w:eastAsia="Times New Roman" w:hAnsi="Arial" w:cs="Arial"/>
                <w:color w:val="000000"/>
                <w:sz w:val="20"/>
                <w:szCs w:val="20"/>
                <w:lang w:eastAsia="es-MX"/>
              </w:rPr>
            </w:pPr>
            <w:r w:rsidRPr="005B45A7">
              <w:rPr>
                <w:rFonts w:ascii="Arial" w:eastAsia="Times New Roman" w:hAnsi="Arial" w:cs="Arial"/>
                <w:color w:val="000000"/>
                <w:sz w:val="20"/>
                <w:szCs w:val="20"/>
                <w:lang w:eastAsia="es-MX"/>
              </w:rPr>
              <w:t xml:space="preserve">  Martha Idalia Fuentes Sánchez</w:t>
            </w:r>
          </w:p>
        </w:tc>
        <w:tc>
          <w:tcPr>
            <w:tcW w:w="1569" w:type="pct"/>
            <w:tcBorders>
              <w:top w:val="nil"/>
              <w:left w:val="nil"/>
              <w:bottom w:val="single" w:sz="4" w:space="0" w:color="auto"/>
              <w:right w:val="single" w:sz="4" w:space="0" w:color="auto"/>
            </w:tcBorders>
            <w:shd w:val="clear" w:color="auto" w:fill="auto"/>
            <w:noWrap/>
            <w:vAlign w:val="center"/>
            <w:hideMark/>
          </w:tcPr>
          <w:p w:rsidR="005B45A7" w:rsidRPr="005B45A7" w:rsidRDefault="005B45A7" w:rsidP="00DB0C3F">
            <w:pPr>
              <w:spacing w:after="0" w:line="240" w:lineRule="auto"/>
              <w:jc w:val="right"/>
              <w:rPr>
                <w:rFonts w:ascii="Arial" w:eastAsia="Times New Roman" w:hAnsi="Arial" w:cs="Arial"/>
                <w:color w:val="000000"/>
                <w:sz w:val="20"/>
                <w:szCs w:val="20"/>
                <w:lang w:eastAsia="es-MX"/>
              </w:rPr>
            </w:pPr>
            <w:r w:rsidRPr="005B45A7">
              <w:rPr>
                <w:rFonts w:ascii="Arial" w:eastAsia="Times New Roman" w:hAnsi="Arial" w:cs="Arial"/>
                <w:color w:val="000000"/>
                <w:sz w:val="20"/>
                <w:szCs w:val="20"/>
                <w:lang w:eastAsia="es-MX"/>
              </w:rPr>
              <w:t xml:space="preserve">5,500.00 </w:t>
            </w:r>
          </w:p>
        </w:tc>
      </w:tr>
      <w:tr w:rsidR="005B45A7" w:rsidRPr="005B45A7" w:rsidTr="00DB0C3F">
        <w:trPr>
          <w:trHeight w:val="300"/>
        </w:trPr>
        <w:tc>
          <w:tcPr>
            <w:tcW w:w="3431" w:type="pct"/>
            <w:tcBorders>
              <w:top w:val="nil"/>
              <w:left w:val="single" w:sz="4" w:space="0" w:color="auto"/>
              <w:bottom w:val="single" w:sz="4" w:space="0" w:color="auto"/>
              <w:right w:val="single" w:sz="4" w:space="0" w:color="auto"/>
            </w:tcBorders>
            <w:shd w:val="clear" w:color="auto" w:fill="auto"/>
            <w:noWrap/>
            <w:vAlign w:val="center"/>
            <w:hideMark/>
          </w:tcPr>
          <w:p w:rsidR="005B45A7" w:rsidRPr="005B45A7" w:rsidRDefault="005B45A7" w:rsidP="00DB0C3F">
            <w:pPr>
              <w:spacing w:after="0" w:line="240" w:lineRule="auto"/>
              <w:rPr>
                <w:rFonts w:ascii="Arial" w:eastAsia="Times New Roman" w:hAnsi="Arial" w:cs="Arial"/>
                <w:color w:val="000000"/>
                <w:sz w:val="20"/>
                <w:szCs w:val="20"/>
                <w:lang w:eastAsia="es-MX"/>
              </w:rPr>
            </w:pPr>
            <w:r w:rsidRPr="005B45A7">
              <w:rPr>
                <w:rFonts w:ascii="Arial" w:eastAsia="Times New Roman" w:hAnsi="Arial" w:cs="Arial"/>
                <w:color w:val="000000"/>
                <w:sz w:val="20"/>
                <w:szCs w:val="20"/>
                <w:lang w:eastAsia="es-MX"/>
              </w:rPr>
              <w:t xml:space="preserve">  Rosa María Bernardino Villalvazo</w:t>
            </w:r>
          </w:p>
        </w:tc>
        <w:tc>
          <w:tcPr>
            <w:tcW w:w="1569" w:type="pct"/>
            <w:tcBorders>
              <w:top w:val="nil"/>
              <w:left w:val="nil"/>
              <w:bottom w:val="single" w:sz="4" w:space="0" w:color="auto"/>
              <w:right w:val="single" w:sz="4" w:space="0" w:color="auto"/>
            </w:tcBorders>
            <w:shd w:val="clear" w:color="auto" w:fill="auto"/>
            <w:noWrap/>
            <w:vAlign w:val="center"/>
            <w:hideMark/>
          </w:tcPr>
          <w:p w:rsidR="005B45A7" w:rsidRPr="005B45A7" w:rsidRDefault="005B45A7" w:rsidP="00DB0C3F">
            <w:pPr>
              <w:spacing w:after="0" w:line="240" w:lineRule="auto"/>
              <w:jc w:val="right"/>
              <w:rPr>
                <w:rFonts w:ascii="Arial" w:eastAsia="Times New Roman" w:hAnsi="Arial" w:cs="Arial"/>
                <w:color w:val="000000"/>
                <w:sz w:val="20"/>
                <w:szCs w:val="20"/>
                <w:lang w:eastAsia="es-MX"/>
              </w:rPr>
            </w:pPr>
            <w:r w:rsidRPr="005B45A7">
              <w:rPr>
                <w:rFonts w:ascii="Arial" w:eastAsia="Times New Roman" w:hAnsi="Arial" w:cs="Arial"/>
                <w:color w:val="000000"/>
                <w:sz w:val="20"/>
                <w:szCs w:val="20"/>
                <w:lang w:eastAsia="es-MX"/>
              </w:rPr>
              <w:t xml:space="preserve">5,500.00 </w:t>
            </w:r>
          </w:p>
        </w:tc>
      </w:tr>
      <w:tr w:rsidR="005B45A7" w:rsidRPr="005B45A7" w:rsidTr="00DB0C3F">
        <w:trPr>
          <w:trHeight w:val="315"/>
        </w:trPr>
        <w:tc>
          <w:tcPr>
            <w:tcW w:w="3431" w:type="pct"/>
            <w:tcBorders>
              <w:top w:val="nil"/>
              <w:left w:val="nil"/>
              <w:bottom w:val="nil"/>
              <w:right w:val="nil"/>
            </w:tcBorders>
            <w:shd w:val="clear" w:color="auto" w:fill="auto"/>
            <w:noWrap/>
            <w:vAlign w:val="bottom"/>
          </w:tcPr>
          <w:p w:rsidR="005B45A7" w:rsidRPr="005B45A7" w:rsidRDefault="005B45A7" w:rsidP="00DB0C3F">
            <w:pPr>
              <w:spacing w:line="240" w:lineRule="auto"/>
              <w:jc w:val="both"/>
              <w:rPr>
                <w:rFonts w:ascii="Arial" w:hAnsi="Arial" w:cs="Arial"/>
                <w:color w:val="000000"/>
                <w:sz w:val="20"/>
                <w:szCs w:val="20"/>
                <w:vertAlign w:val="superscript"/>
              </w:rPr>
            </w:pPr>
          </w:p>
        </w:tc>
        <w:tc>
          <w:tcPr>
            <w:tcW w:w="1569" w:type="pct"/>
            <w:tcBorders>
              <w:top w:val="nil"/>
              <w:left w:val="single" w:sz="4" w:space="0" w:color="auto"/>
              <w:bottom w:val="single" w:sz="4" w:space="0" w:color="auto"/>
              <w:right w:val="single" w:sz="4" w:space="0" w:color="auto"/>
            </w:tcBorders>
            <w:shd w:val="clear" w:color="auto" w:fill="auto"/>
            <w:noWrap/>
            <w:vAlign w:val="center"/>
            <w:hideMark/>
          </w:tcPr>
          <w:p w:rsidR="005B45A7" w:rsidRPr="005B45A7" w:rsidRDefault="005B45A7" w:rsidP="00DB0C3F">
            <w:pPr>
              <w:spacing w:after="0" w:line="240" w:lineRule="auto"/>
              <w:jc w:val="right"/>
              <w:rPr>
                <w:rFonts w:ascii="Arial" w:eastAsia="Times New Roman" w:hAnsi="Arial" w:cs="Arial"/>
                <w:b/>
                <w:color w:val="000000"/>
                <w:sz w:val="20"/>
                <w:szCs w:val="20"/>
                <w:lang w:eastAsia="es-MX"/>
              </w:rPr>
            </w:pPr>
            <w:r w:rsidRPr="005B45A7">
              <w:rPr>
                <w:rFonts w:ascii="Arial" w:eastAsia="Times New Roman" w:hAnsi="Arial" w:cs="Arial"/>
                <w:b/>
                <w:color w:val="000000"/>
                <w:sz w:val="20"/>
                <w:szCs w:val="20"/>
                <w:lang w:eastAsia="es-MX"/>
              </w:rPr>
              <w:t xml:space="preserve">56,000.00 </w:t>
            </w:r>
          </w:p>
        </w:tc>
      </w:tr>
    </w:tbl>
    <w:p w:rsidR="005B45A7" w:rsidRPr="0051386F" w:rsidRDefault="005B45A7" w:rsidP="005B45A7">
      <w:pPr>
        <w:spacing w:line="240" w:lineRule="auto"/>
        <w:jc w:val="both"/>
        <w:rPr>
          <w:rFonts w:ascii="Arial" w:hAnsi="Arial" w:cs="Arial"/>
          <w:color w:val="000000"/>
          <w:vertAlign w:val="superscript"/>
        </w:rPr>
      </w:pPr>
      <w:r w:rsidRPr="005B45A7">
        <w:rPr>
          <w:rFonts w:ascii="Arial" w:hAnsi="Arial" w:cs="Arial"/>
          <w:color w:val="000000"/>
          <w:sz w:val="20"/>
          <w:szCs w:val="20"/>
          <w:vertAlign w:val="superscript"/>
        </w:rPr>
        <w:t>*</w:t>
      </w:r>
      <w:r w:rsidRPr="0051386F">
        <w:rPr>
          <w:rFonts w:ascii="Arial" w:hAnsi="Arial" w:cs="Arial"/>
          <w:color w:val="000000"/>
          <w:vertAlign w:val="superscript"/>
        </w:rPr>
        <w:t>Estas tablas son antes de retenciones.</w:t>
      </w:r>
    </w:p>
    <w:p w:rsidR="005B45A7" w:rsidRPr="005B45A7" w:rsidRDefault="005B45A7" w:rsidP="005B45A7">
      <w:pPr>
        <w:spacing w:line="240" w:lineRule="auto"/>
        <w:jc w:val="both"/>
        <w:rPr>
          <w:rFonts w:ascii="Arial" w:hAnsi="Arial" w:cs="Arial"/>
          <w:color w:val="000000"/>
          <w:sz w:val="20"/>
          <w:szCs w:val="20"/>
        </w:rPr>
      </w:pPr>
      <w:r w:rsidRPr="005B45A7">
        <w:rPr>
          <w:rFonts w:ascii="Arial" w:hAnsi="Arial" w:cs="Arial"/>
          <w:color w:val="000000"/>
          <w:sz w:val="20"/>
          <w:szCs w:val="20"/>
        </w:rPr>
        <w:lastRenderedPageBreak/>
        <w:t>Cada una de las personas concluyó su trabajo conforme al contrato y se deja evidencia de ello mediante los memorándums suscritos por el Director responsable del proyecto, asimismo se anexa el oficio de entrega de dicho estudio a la CANACO, con lo cual se cumple con el contrato suscrito con dicho organismo y se presenta una captura de la pantalla donde se muestra la página donde se publica el estudio de expectativas empresariales cada semestre.</w:t>
      </w:r>
    </w:p>
    <w:p w:rsidR="005B45A7" w:rsidRPr="005B45A7" w:rsidRDefault="005B45A7" w:rsidP="005B45A7">
      <w:pPr>
        <w:spacing w:line="240" w:lineRule="auto"/>
        <w:jc w:val="both"/>
        <w:rPr>
          <w:rFonts w:ascii="Arial" w:hAnsi="Arial" w:cs="Arial"/>
          <w:color w:val="000000"/>
          <w:sz w:val="20"/>
          <w:szCs w:val="20"/>
        </w:rPr>
      </w:pPr>
      <w:r w:rsidRPr="005B45A7">
        <w:rPr>
          <w:rFonts w:ascii="Arial" w:hAnsi="Arial" w:cs="Arial"/>
          <w:color w:val="000000"/>
          <w:sz w:val="20"/>
          <w:szCs w:val="20"/>
        </w:rPr>
        <w:t xml:space="preserve">Es de suma importancia resaltar que  </w:t>
      </w:r>
      <w:r w:rsidRPr="005B45A7">
        <w:rPr>
          <w:rFonts w:ascii="Arial" w:hAnsi="Arial" w:cs="Arial"/>
          <w:color w:val="000000"/>
          <w:sz w:val="20"/>
          <w:szCs w:val="20"/>
          <w:u w:val="single"/>
        </w:rPr>
        <w:t>no existe ningún daño patrimonial para el Instituto</w:t>
      </w:r>
      <w:r w:rsidRPr="005B45A7">
        <w:rPr>
          <w:rFonts w:ascii="Arial" w:hAnsi="Arial" w:cs="Arial"/>
          <w:color w:val="000000"/>
          <w:sz w:val="20"/>
          <w:szCs w:val="20"/>
        </w:rPr>
        <w:t xml:space="preserve">, ya que conforme a lo detallado en líneas anteriores, el recurso que ingresó a través del Contrato con CANACO, peso por peso, fue erogado conforme a los contratos que se desprendieron de él, y el remanente debidamente conforme se muestra en la presentación de remanentes de proyectos propios concluidos en la Primera Sesión Ordinaria 2017 de la Junta de Gobierno llevada a cabo el día 19 de enero 2017, el cual  se destinó a la compra de un vehículo para cambiar el parque vehicular del Instituto, ya que se dieron de baja 3 automóviles ese mismo año. </w:t>
      </w:r>
    </w:p>
    <w:p w:rsidR="005B45A7" w:rsidRPr="005B45A7" w:rsidRDefault="005B45A7" w:rsidP="005B45A7">
      <w:pPr>
        <w:spacing w:line="240" w:lineRule="auto"/>
        <w:jc w:val="both"/>
        <w:rPr>
          <w:rFonts w:ascii="Arial" w:hAnsi="Arial" w:cs="Arial"/>
          <w:color w:val="000000"/>
          <w:sz w:val="20"/>
          <w:szCs w:val="20"/>
        </w:rPr>
      </w:pPr>
      <w:r w:rsidRPr="005B45A7">
        <w:rPr>
          <w:rFonts w:ascii="Arial" w:hAnsi="Arial" w:cs="Arial"/>
          <w:color w:val="000000"/>
          <w:sz w:val="20"/>
          <w:szCs w:val="20"/>
        </w:rPr>
        <w:t>De la misma manera, respecto al contrato que se llevó a cabo con cargo a la partida 3391 de MIR, para el estudio de expectativas económicas: si bien el documento comprobatorio del momento del devengado en el egreso no fue el recibo, sí se llevaron a cabo el pago, retenciones, enteros al SAT y demás acciones relacionadas a la contratación y al pago. Como ya se hizo mención, esto quedó corregido desde marzo de 2016.</w:t>
      </w:r>
    </w:p>
    <w:p w:rsidR="005B45A7" w:rsidRPr="005B45A7" w:rsidRDefault="005B45A7" w:rsidP="005B45A7">
      <w:pPr>
        <w:spacing w:line="240" w:lineRule="auto"/>
        <w:jc w:val="both"/>
        <w:rPr>
          <w:rFonts w:ascii="Arial" w:hAnsi="Arial" w:cs="Arial"/>
          <w:color w:val="000000"/>
          <w:sz w:val="20"/>
          <w:szCs w:val="20"/>
        </w:rPr>
      </w:pPr>
      <w:r w:rsidRPr="005B45A7">
        <w:rPr>
          <w:rFonts w:ascii="Arial" w:hAnsi="Arial" w:cs="Arial"/>
          <w:color w:val="000000"/>
          <w:sz w:val="20"/>
          <w:szCs w:val="20"/>
        </w:rPr>
        <w:t>A efecto de acreditar los argumentos vertidos en líneas anteriores y como evidencia documental de ello, se anexa al presente la siguiente documentación:</w:t>
      </w:r>
    </w:p>
    <w:p w:rsidR="005B45A7" w:rsidRPr="005B45A7" w:rsidRDefault="005B45A7" w:rsidP="005B45A7">
      <w:pPr>
        <w:pStyle w:val="Prrafodelista"/>
        <w:numPr>
          <w:ilvl w:val="0"/>
          <w:numId w:val="23"/>
        </w:numPr>
        <w:jc w:val="both"/>
        <w:rPr>
          <w:rFonts w:ascii="Arial" w:hAnsi="Arial" w:cs="Arial"/>
          <w:sz w:val="20"/>
          <w:szCs w:val="20"/>
        </w:rPr>
      </w:pPr>
      <w:r w:rsidRPr="005B45A7">
        <w:rPr>
          <w:rFonts w:ascii="Arial" w:hAnsi="Arial" w:cs="Arial"/>
          <w:sz w:val="20"/>
          <w:szCs w:val="20"/>
        </w:rPr>
        <w:t>Contrato IIEG/DG/UAJ/CONT/001/2016 de fecha 21 de enero de 2016 celebrado con Martha Idalia Fuentes</w:t>
      </w:r>
    </w:p>
    <w:p w:rsidR="005B45A7" w:rsidRPr="005B45A7" w:rsidRDefault="005B45A7" w:rsidP="005B45A7">
      <w:pPr>
        <w:pStyle w:val="Prrafodelista"/>
        <w:numPr>
          <w:ilvl w:val="0"/>
          <w:numId w:val="23"/>
        </w:numPr>
        <w:jc w:val="both"/>
        <w:rPr>
          <w:rFonts w:ascii="Arial" w:hAnsi="Arial" w:cs="Arial"/>
          <w:sz w:val="20"/>
          <w:szCs w:val="20"/>
        </w:rPr>
      </w:pPr>
      <w:r w:rsidRPr="005B45A7">
        <w:rPr>
          <w:rFonts w:ascii="Arial" w:hAnsi="Arial" w:cs="Arial"/>
          <w:sz w:val="20"/>
          <w:szCs w:val="20"/>
        </w:rPr>
        <w:t>Contrato IIEG/DG/UAJ/CONT/002/2016 de fecha 21 de enero de 2016 celebrado con Rosa María Bernardino Villalvazo.</w:t>
      </w:r>
    </w:p>
    <w:p w:rsidR="005B45A7" w:rsidRPr="005B45A7" w:rsidRDefault="005B45A7" w:rsidP="005B45A7">
      <w:pPr>
        <w:pStyle w:val="Prrafodelista"/>
        <w:numPr>
          <w:ilvl w:val="0"/>
          <w:numId w:val="23"/>
        </w:numPr>
        <w:jc w:val="both"/>
        <w:rPr>
          <w:rFonts w:ascii="Arial" w:hAnsi="Arial" w:cs="Arial"/>
          <w:sz w:val="20"/>
          <w:szCs w:val="20"/>
        </w:rPr>
      </w:pPr>
      <w:r w:rsidRPr="005B45A7">
        <w:rPr>
          <w:rFonts w:ascii="Arial" w:hAnsi="Arial" w:cs="Arial"/>
          <w:sz w:val="20"/>
          <w:szCs w:val="20"/>
        </w:rPr>
        <w:t>Contrato IIEG/DG/UAJ/CONT/003/2016 de fecha 21 de enero de 2016 celebrado con Francisco René Pérez</w:t>
      </w:r>
    </w:p>
    <w:p w:rsidR="005B45A7" w:rsidRPr="005B45A7" w:rsidRDefault="005B45A7" w:rsidP="005B45A7">
      <w:pPr>
        <w:pStyle w:val="Prrafodelista"/>
        <w:numPr>
          <w:ilvl w:val="0"/>
          <w:numId w:val="23"/>
        </w:numPr>
        <w:jc w:val="both"/>
        <w:rPr>
          <w:rFonts w:ascii="Arial" w:hAnsi="Arial" w:cs="Arial"/>
          <w:sz w:val="20"/>
          <w:szCs w:val="20"/>
        </w:rPr>
      </w:pPr>
      <w:r w:rsidRPr="005B45A7">
        <w:rPr>
          <w:rFonts w:ascii="Arial" w:hAnsi="Arial" w:cs="Arial"/>
          <w:sz w:val="20"/>
          <w:szCs w:val="20"/>
        </w:rPr>
        <w:t>Contrato IIEG/DG/UAJ/CONT/011/2016 de fecha 11 de febrero de 2016 celebrado con Ramona Serrano Bautista</w:t>
      </w:r>
    </w:p>
    <w:p w:rsidR="005B45A7" w:rsidRPr="005B45A7" w:rsidRDefault="005B45A7" w:rsidP="005B45A7">
      <w:pPr>
        <w:pStyle w:val="Prrafodelista"/>
        <w:numPr>
          <w:ilvl w:val="0"/>
          <w:numId w:val="23"/>
        </w:numPr>
        <w:jc w:val="both"/>
        <w:rPr>
          <w:rFonts w:ascii="Arial" w:hAnsi="Arial" w:cs="Arial"/>
          <w:sz w:val="20"/>
          <w:szCs w:val="20"/>
        </w:rPr>
      </w:pPr>
      <w:r w:rsidRPr="005B45A7">
        <w:rPr>
          <w:rFonts w:ascii="Arial" w:hAnsi="Arial" w:cs="Arial"/>
          <w:sz w:val="20"/>
          <w:szCs w:val="20"/>
        </w:rPr>
        <w:t>Contrato IIEG/DG/UAJ/CONT/004/2016 de fecha 21 de enero de 2016 celebrado con Ángel Tomas Wong</w:t>
      </w:r>
    </w:p>
    <w:p w:rsidR="005B45A7" w:rsidRPr="005B45A7" w:rsidRDefault="005B45A7" w:rsidP="005B45A7">
      <w:pPr>
        <w:pStyle w:val="Prrafodelista"/>
        <w:numPr>
          <w:ilvl w:val="0"/>
          <w:numId w:val="23"/>
        </w:numPr>
        <w:jc w:val="both"/>
        <w:rPr>
          <w:rFonts w:ascii="Arial" w:hAnsi="Arial" w:cs="Arial"/>
          <w:sz w:val="20"/>
          <w:szCs w:val="20"/>
        </w:rPr>
      </w:pPr>
      <w:r w:rsidRPr="005B45A7">
        <w:rPr>
          <w:rFonts w:ascii="Arial" w:hAnsi="Arial" w:cs="Arial"/>
          <w:sz w:val="20"/>
          <w:szCs w:val="20"/>
        </w:rPr>
        <w:t>Contrato IIEG/DG/UAJ/CONT/134/2015 de fecha 17 de diciembre de 2015 celebrado con la Cámara de Comercio de Guadalajara (CANACO) para el desarrollo del Proyecto denominado Estudio de Derrama Económica del Ornato Navideño 2015.</w:t>
      </w:r>
    </w:p>
    <w:p w:rsidR="005B45A7" w:rsidRPr="005B45A7" w:rsidRDefault="005B45A7" w:rsidP="005B45A7">
      <w:pPr>
        <w:pStyle w:val="Prrafodelista"/>
        <w:numPr>
          <w:ilvl w:val="0"/>
          <w:numId w:val="23"/>
        </w:numPr>
        <w:jc w:val="both"/>
        <w:rPr>
          <w:rFonts w:ascii="Arial" w:hAnsi="Arial" w:cs="Arial"/>
          <w:sz w:val="20"/>
          <w:szCs w:val="20"/>
        </w:rPr>
      </w:pPr>
      <w:r w:rsidRPr="005B45A7">
        <w:rPr>
          <w:rFonts w:ascii="Arial" w:hAnsi="Arial" w:cs="Arial"/>
          <w:sz w:val="20"/>
          <w:szCs w:val="20"/>
        </w:rPr>
        <w:t>Memo conclusión Francisco René Pérez</w:t>
      </w:r>
    </w:p>
    <w:p w:rsidR="005B45A7" w:rsidRPr="005B45A7" w:rsidRDefault="005B45A7" w:rsidP="005B45A7">
      <w:pPr>
        <w:pStyle w:val="Prrafodelista"/>
        <w:numPr>
          <w:ilvl w:val="0"/>
          <w:numId w:val="23"/>
        </w:numPr>
        <w:jc w:val="both"/>
        <w:rPr>
          <w:rFonts w:ascii="Arial" w:hAnsi="Arial" w:cs="Arial"/>
          <w:sz w:val="20"/>
          <w:szCs w:val="20"/>
        </w:rPr>
      </w:pPr>
      <w:r w:rsidRPr="005B45A7">
        <w:rPr>
          <w:rFonts w:ascii="Arial" w:hAnsi="Arial" w:cs="Arial"/>
          <w:sz w:val="20"/>
          <w:szCs w:val="20"/>
        </w:rPr>
        <w:t>Memo conclusión Rosa María Bernardino</w:t>
      </w:r>
    </w:p>
    <w:p w:rsidR="005B45A7" w:rsidRPr="005B45A7" w:rsidRDefault="005B45A7" w:rsidP="005B45A7">
      <w:pPr>
        <w:pStyle w:val="Prrafodelista"/>
        <w:numPr>
          <w:ilvl w:val="0"/>
          <w:numId w:val="23"/>
        </w:numPr>
        <w:jc w:val="both"/>
        <w:rPr>
          <w:rFonts w:ascii="Arial" w:hAnsi="Arial" w:cs="Arial"/>
          <w:sz w:val="20"/>
          <w:szCs w:val="20"/>
        </w:rPr>
      </w:pPr>
      <w:r w:rsidRPr="005B45A7">
        <w:rPr>
          <w:rFonts w:ascii="Arial" w:hAnsi="Arial" w:cs="Arial"/>
          <w:sz w:val="20"/>
          <w:szCs w:val="20"/>
        </w:rPr>
        <w:t>Memo conclusión Martha Idalia Fuentes</w:t>
      </w:r>
    </w:p>
    <w:p w:rsidR="005B45A7" w:rsidRPr="005B45A7" w:rsidRDefault="005B45A7" w:rsidP="005B45A7">
      <w:pPr>
        <w:pStyle w:val="Prrafodelista"/>
        <w:numPr>
          <w:ilvl w:val="0"/>
          <w:numId w:val="23"/>
        </w:numPr>
        <w:jc w:val="both"/>
        <w:rPr>
          <w:rFonts w:ascii="Arial" w:hAnsi="Arial" w:cs="Arial"/>
          <w:sz w:val="20"/>
          <w:szCs w:val="20"/>
        </w:rPr>
      </w:pPr>
      <w:r w:rsidRPr="005B45A7">
        <w:rPr>
          <w:rFonts w:ascii="Arial" w:hAnsi="Arial" w:cs="Arial"/>
          <w:sz w:val="20"/>
          <w:szCs w:val="20"/>
        </w:rPr>
        <w:t>Memo conclusión Tomás Ángel Wong</w:t>
      </w:r>
    </w:p>
    <w:p w:rsidR="005B45A7" w:rsidRPr="005B45A7" w:rsidRDefault="005B45A7" w:rsidP="005B45A7">
      <w:pPr>
        <w:pStyle w:val="Prrafodelista"/>
        <w:numPr>
          <w:ilvl w:val="0"/>
          <w:numId w:val="23"/>
        </w:numPr>
        <w:jc w:val="both"/>
        <w:rPr>
          <w:rFonts w:ascii="Arial" w:hAnsi="Arial" w:cs="Arial"/>
          <w:sz w:val="20"/>
          <w:szCs w:val="20"/>
        </w:rPr>
      </w:pPr>
      <w:r w:rsidRPr="005B45A7">
        <w:rPr>
          <w:rFonts w:ascii="Arial" w:hAnsi="Arial" w:cs="Arial"/>
          <w:sz w:val="20"/>
          <w:szCs w:val="20"/>
        </w:rPr>
        <w:t>Memo conclusión Ramona Serrano Bautista</w:t>
      </w:r>
    </w:p>
    <w:p w:rsidR="005B45A7" w:rsidRPr="005B45A7" w:rsidRDefault="005B45A7" w:rsidP="005B45A7">
      <w:pPr>
        <w:pStyle w:val="Prrafodelista"/>
        <w:numPr>
          <w:ilvl w:val="0"/>
          <w:numId w:val="23"/>
        </w:numPr>
        <w:jc w:val="both"/>
        <w:rPr>
          <w:rFonts w:ascii="Arial" w:hAnsi="Arial" w:cs="Arial"/>
          <w:sz w:val="20"/>
          <w:szCs w:val="20"/>
        </w:rPr>
      </w:pPr>
      <w:r w:rsidRPr="005B45A7">
        <w:rPr>
          <w:rFonts w:ascii="Arial" w:hAnsi="Arial" w:cs="Arial"/>
          <w:sz w:val="20"/>
          <w:szCs w:val="20"/>
        </w:rPr>
        <w:t>Escrito de entrega de estudio de Ornato Navideño a CANACO</w:t>
      </w:r>
    </w:p>
    <w:p w:rsidR="005B45A7" w:rsidRPr="005B45A7" w:rsidRDefault="005B45A7" w:rsidP="005B45A7">
      <w:pPr>
        <w:pStyle w:val="Prrafodelista"/>
        <w:numPr>
          <w:ilvl w:val="0"/>
          <w:numId w:val="23"/>
        </w:numPr>
        <w:jc w:val="both"/>
        <w:rPr>
          <w:rFonts w:ascii="Arial" w:hAnsi="Arial" w:cs="Arial"/>
          <w:sz w:val="20"/>
          <w:szCs w:val="20"/>
        </w:rPr>
      </w:pPr>
      <w:r w:rsidRPr="005B45A7">
        <w:rPr>
          <w:rFonts w:ascii="Arial" w:hAnsi="Arial" w:cs="Arial"/>
          <w:sz w:val="20"/>
          <w:szCs w:val="20"/>
        </w:rPr>
        <w:t>Publicación del estudio de Expectativas empresariales</w:t>
      </w:r>
    </w:p>
    <w:p w:rsidR="005B45A7" w:rsidRPr="005B45A7" w:rsidRDefault="005B45A7" w:rsidP="005B45A7">
      <w:pPr>
        <w:pStyle w:val="Prrafodelista"/>
        <w:numPr>
          <w:ilvl w:val="0"/>
          <w:numId w:val="23"/>
        </w:numPr>
        <w:jc w:val="both"/>
        <w:rPr>
          <w:rFonts w:ascii="Arial" w:hAnsi="Arial" w:cs="Arial"/>
          <w:sz w:val="20"/>
          <w:szCs w:val="20"/>
        </w:rPr>
      </w:pPr>
      <w:r w:rsidRPr="005B45A7">
        <w:rPr>
          <w:rFonts w:ascii="Arial" w:hAnsi="Arial" w:cs="Arial"/>
          <w:sz w:val="20"/>
          <w:szCs w:val="20"/>
        </w:rPr>
        <w:t>Acta de la Primera Sesión Ordinaria 2017 de la Junta de Gobierno llevada a cabo el día 19 de enero 2017.</w:t>
      </w:r>
    </w:p>
    <w:p w:rsidR="005B45A7" w:rsidRPr="005B45A7" w:rsidRDefault="005B45A7" w:rsidP="005B45A7">
      <w:pPr>
        <w:pStyle w:val="Prrafodelista"/>
        <w:numPr>
          <w:ilvl w:val="0"/>
          <w:numId w:val="23"/>
        </w:numPr>
        <w:jc w:val="both"/>
        <w:rPr>
          <w:rFonts w:ascii="Arial" w:hAnsi="Arial" w:cs="Arial"/>
          <w:sz w:val="20"/>
          <w:szCs w:val="20"/>
        </w:rPr>
      </w:pPr>
      <w:r w:rsidRPr="005B45A7">
        <w:rPr>
          <w:rFonts w:ascii="Arial" w:hAnsi="Arial" w:cs="Arial"/>
          <w:sz w:val="20"/>
          <w:szCs w:val="20"/>
        </w:rPr>
        <w:t>Anexo de Junta de Gobierno del 19 de enero 2017 correspondiente a egresos de remanentes 2017.</w:t>
      </w:r>
    </w:p>
    <w:p w:rsidR="005B45A7" w:rsidRPr="005B45A7" w:rsidRDefault="005B45A7" w:rsidP="005B45A7">
      <w:pPr>
        <w:spacing w:line="240" w:lineRule="auto"/>
        <w:jc w:val="both"/>
        <w:rPr>
          <w:rFonts w:ascii="Arial" w:hAnsi="Arial" w:cs="Arial"/>
          <w:color w:val="000000"/>
          <w:sz w:val="20"/>
          <w:szCs w:val="20"/>
        </w:rPr>
      </w:pPr>
    </w:p>
    <w:p w:rsidR="009119BA" w:rsidRPr="005B45A7" w:rsidRDefault="009119BA" w:rsidP="005B45A7">
      <w:pPr>
        <w:jc w:val="both"/>
        <w:rPr>
          <w:rFonts w:ascii="Arial" w:hAnsi="Arial" w:cs="Arial"/>
          <w:sz w:val="20"/>
          <w:szCs w:val="20"/>
        </w:rPr>
      </w:pPr>
    </w:p>
    <w:sectPr w:rsidR="009119BA" w:rsidRPr="005B45A7" w:rsidSect="00511D2F">
      <w:headerReference w:type="default" r:id="rId8"/>
      <w:pgSz w:w="12242" w:h="20163" w:code="5"/>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3AC" w:rsidRDefault="00C743AC" w:rsidP="0051386F">
      <w:pPr>
        <w:spacing w:after="0" w:line="240" w:lineRule="auto"/>
      </w:pPr>
      <w:r>
        <w:separator/>
      </w:r>
    </w:p>
  </w:endnote>
  <w:endnote w:type="continuationSeparator" w:id="1">
    <w:p w:rsidR="00C743AC" w:rsidRDefault="00C743AC" w:rsidP="005138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Frutiger-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3AC" w:rsidRDefault="00C743AC" w:rsidP="0051386F">
      <w:pPr>
        <w:spacing w:after="0" w:line="240" w:lineRule="auto"/>
      </w:pPr>
      <w:r>
        <w:separator/>
      </w:r>
    </w:p>
  </w:footnote>
  <w:footnote w:type="continuationSeparator" w:id="1">
    <w:p w:rsidR="00C743AC" w:rsidRDefault="00C743AC" w:rsidP="005138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039"/>
      <w:docPartObj>
        <w:docPartGallery w:val="Page Numbers (Top of Page)"/>
        <w:docPartUnique/>
      </w:docPartObj>
    </w:sdtPr>
    <w:sdtContent>
      <w:p w:rsidR="0051386F" w:rsidRDefault="0070142D">
        <w:pPr>
          <w:pStyle w:val="Encabezado"/>
          <w:jc w:val="right"/>
        </w:pPr>
        <w:r>
          <w:fldChar w:fldCharType="begin"/>
        </w:r>
        <w:r w:rsidR="007C631B">
          <w:instrText xml:space="preserve"> PAGE   \* MERGEFORMAT </w:instrText>
        </w:r>
        <w:r>
          <w:fldChar w:fldCharType="separate"/>
        </w:r>
        <w:r w:rsidR="002014B5">
          <w:rPr>
            <w:noProof/>
          </w:rPr>
          <w:t>1</w:t>
        </w:r>
        <w:r>
          <w:rPr>
            <w:noProof/>
          </w:rPr>
          <w:fldChar w:fldCharType="end"/>
        </w:r>
        <w:r w:rsidR="001637CD">
          <w:t>/2</w:t>
        </w:r>
      </w:p>
    </w:sdtContent>
  </w:sdt>
  <w:p w:rsidR="0051386F" w:rsidRDefault="0051386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8B7"/>
    <w:multiLevelType w:val="hybridMultilevel"/>
    <w:tmpl w:val="7F8CC5CE"/>
    <w:lvl w:ilvl="0" w:tplc="080A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067AD7"/>
    <w:multiLevelType w:val="hybridMultilevel"/>
    <w:tmpl w:val="D4C4D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DE3EAA"/>
    <w:multiLevelType w:val="hybridMultilevel"/>
    <w:tmpl w:val="1696BB9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0DEA0349"/>
    <w:multiLevelType w:val="hybridMultilevel"/>
    <w:tmpl w:val="5A2E10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AC74C5"/>
    <w:multiLevelType w:val="multilevel"/>
    <w:tmpl w:val="EFDC81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92566EE"/>
    <w:multiLevelType w:val="hybridMultilevel"/>
    <w:tmpl w:val="121C3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177CED"/>
    <w:multiLevelType w:val="multilevel"/>
    <w:tmpl w:val="D3CCB2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7D07DD"/>
    <w:multiLevelType w:val="hybridMultilevel"/>
    <w:tmpl w:val="C792C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E503E8"/>
    <w:multiLevelType w:val="hybridMultilevel"/>
    <w:tmpl w:val="17F8CD60"/>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3B721F"/>
    <w:multiLevelType w:val="multilevel"/>
    <w:tmpl w:val="BB8ED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AC61D44"/>
    <w:multiLevelType w:val="hybridMultilevel"/>
    <w:tmpl w:val="0FDCEE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6692843"/>
    <w:multiLevelType w:val="hybridMultilevel"/>
    <w:tmpl w:val="B3542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3C41A0"/>
    <w:multiLevelType w:val="hybridMultilevel"/>
    <w:tmpl w:val="AD949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D5118C"/>
    <w:multiLevelType w:val="hybridMultilevel"/>
    <w:tmpl w:val="96F6C9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FA64E7"/>
    <w:multiLevelType w:val="hybridMultilevel"/>
    <w:tmpl w:val="79FC2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EBE4E18"/>
    <w:multiLevelType w:val="hybridMultilevel"/>
    <w:tmpl w:val="5AFC05DE"/>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DF6ADC"/>
    <w:multiLevelType w:val="hybridMultilevel"/>
    <w:tmpl w:val="8CE812E0"/>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BC3152"/>
    <w:multiLevelType w:val="hybridMultilevel"/>
    <w:tmpl w:val="B948961E"/>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0C3C64"/>
    <w:multiLevelType w:val="multilevel"/>
    <w:tmpl w:val="FBA44E3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9">
    <w:nsid w:val="66064300"/>
    <w:multiLevelType w:val="hybridMultilevel"/>
    <w:tmpl w:val="0B229498"/>
    <w:lvl w:ilvl="0" w:tplc="211EC896">
      <w:start w:val="1"/>
      <w:numFmt w:val="decimal"/>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95F38E7"/>
    <w:multiLevelType w:val="hybridMultilevel"/>
    <w:tmpl w:val="5B2E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5456F3"/>
    <w:multiLevelType w:val="multilevel"/>
    <w:tmpl w:val="BB0E9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AB869A4"/>
    <w:multiLevelType w:val="hybridMultilevel"/>
    <w:tmpl w:val="2EAA86B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9"/>
  </w:num>
  <w:num w:numId="4">
    <w:abstractNumId w:val="22"/>
  </w:num>
  <w:num w:numId="5">
    <w:abstractNumId w:val="4"/>
  </w:num>
  <w:num w:numId="6">
    <w:abstractNumId w:val="16"/>
  </w:num>
  <w:num w:numId="7">
    <w:abstractNumId w:val="19"/>
  </w:num>
  <w:num w:numId="8">
    <w:abstractNumId w:val="8"/>
  </w:num>
  <w:num w:numId="9">
    <w:abstractNumId w:val="2"/>
  </w:num>
  <w:num w:numId="10">
    <w:abstractNumId w:val="3"/>
  </w:num>
  <w:num w:numId="11">
    <w:abstractNumId w:val="12"/>
  </w:num>
  <w:num w:numId="12">
    <w:abstractNumId w:val="11"/>
  </w:num>
  <w:num w:numId="13">
    <w:abstractNumId w:val="1"/>
  </w:num>
  <w:num w:numId="14">
    <w:abstractNumId w:val="5"/>
  </w:num>
  <w:num w:numId="15">
    <w:abstractNumId w:val="14"/>
  </w:num>
  <w:num w:numId="16">
    <w:abstractNumId w:val="7"/>
  </w:num>
  <w:num w:numId="17">
    <w:abstractNumId w:val="20"/>
  </w:num>
  <w:num w:numId="18">
    <w:abstractNumId w:val="15"/>
  </w:num>
  <w:num w:numId="19">
    <w:abstractNumId w:val="13"/>
  </w:num>
  <w:num w:numId="20">
    <w:abstractNumId w:val="18"/>
  </w:num>
  <w:num w:numId="21">
    <w:abstractNumId w:val="0"/>
  </w:num>
  <w:num w:numId="22">
    <w:abstractNumId w:val="17"/>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119BA"/>
    <w:rsid w:val="00047693"/>
    <w:rsid w:val="00051F4B"/>
    <w:rsid w:val="0008029C"/>
    <w:rsid w:val="00090080"/>
    <w:rsid w:val="000A1858"/>
    <w:rsid w:val="00112C8E"/>
    <w:rsid w:val="00146ADA"/>
    <w:rsid w:val="001637CD"/>
    <w:rsid w:val="002014B5"/>
    <w:rsid w:val="0025733F"/>
    <w:rsid w:val="0026061B"/>
    <w:rsid w:val="0026313A"/>
    <w:rsid w:val="002B53A3"/>
    <w:rsid w:val="002C5E16"/>
    <w:rsid w:val="002D6395"/>
    <w:rsid w:val="002E264A"/>
    <w:rsid w:val="00322439"/>
    <w:rsid w:val="004911C4"/>
    <w:rsid w:val="004A408F"/>
    <w:rsid w:val="004C121A"/>
    <w:rsid w:val="004E6AC9"/>
    <w:rsid w:val="00511D2F"/>
    <w:rsid w:val="0051386F"/>
    <w:rsid w:val="0058107E"/>
    <w:rsid w:val="005B3004"/>
    <w:rsid w:val="005B45A7"/>
    <w:rsid w:val="00607F9C"/>
    <w:rsid w:val="00664FC0"/>
    <w:rsid w:val="00696C36"/>
    <w:rsid w:val="0070142D"/>
    <w:rsid w:val="00703B9B"/>
    <w:rsid w:val="00783784"/>
    <w:rsid w:val="007875D4"/>
    <w:rsid w:val="007901D1"/>
    <w:rsid w:val="007C631B"/>
    <w:rsid w:val="007D1B98"/>
    <w:rsid w:val="0089168A"/>
    <w:rsid w:val="009119BA"/>
    <w:rsid w:val="00925DB1"/>
    <w:rsid w:val="009860CE"/>
    <w:rsid w:val="009B6587"/>
    <w:rsid w:val="00A32AE6"/>
    <w:rsid w:val="00A60A1D"/>
    <w:rsid w:val="00A70B08"/>
    <w:rsid w:val="00A838FB"/>
    <w:rsid w:val="00A861BD"/>
    <w:rsid w:val="00B00C93"/>
    <w:rsid w:val="00C743AC"/>
    <w:rsid w:val="00D33BDA"/>
    <w:rsid w:val="00D66841"/>
    <w:rsid w:val="00DC5D8F"/>
    <w:rsid w:val="00DD7115"/>
    <w:rsid w:val="00F02396"/>
    <w:rsid w:val="00F50580"/>
    <w:rsid w:val="00F81212"/>
    <w:rsid w:val="00FC23D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D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6684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D66841"/>
    <w:rPr>
      <w:rFonts w:ascii="Arial" w:eastAsia="Times New Roman" w:hAnsi="Arial" w:cs="Times New Roman"/>
      <w:sz w:val="24"/>
      <w:szCs w:val="20"/>
      <w:lang w:eastAsia="es-ES"/>
    </w:rPr>
  </w:style>
  <w:style w:type="paragraph" w:styleId="Prrafodelista">
    <w:name w:val="List Paragraph"/>
    <w:basedOn w:val="Normal"/>
    <w:uiPriority w:val="34"/>
    <w:qFormat/>
    <w:rsid w:val="00F50580"/>
    <w:pPr>
      <w:ind w:left="720"/>
      <w:contextualSpacing/>
    </w:pPr>
  </w:style>
  <w:style w:type="character" w:styleId="Refdecomentario">
    <w:name w:val="annotation reference"/>
    <w:basedOn w:val="Fuentedeprrafopredeter"/>
    <w:uiPriority w:val="99"/>
    <w:semiHidden/>
    <w:unhideWhenUsed/>
    <w:rsid w:val="004C121A"/>
    <w:rPr>
      <w:sz w:val="16"/>
      <w:szCs w:val="16"/>
    </w:rPr>
  </w:style>
  <w:style w:type="paragraph" w:styleId="Textocomentario">
    <w:name w:val="annotation text"/>
    <w:basedOn w:val="Normal"/>
    <w:link w:val="TextocomentarioCar"/>
    <w:uiPriority w:val="99"/>
    <w:semiHidden/>
    <w:unhideWhenUsed/>
    <w:rsid w:val="004C121A"/>
    <w:pPr>
      <w:spacing w:after="0" w:line="240" w:lineRule="auto"/>
    </w:pPr>
    <w:rPr>
      <w:rFonts w:eastAsiaTheme="minorEastAsia"/>
      <w:sz w:val="20"/>
      <w:szCs w:val="20"/>
      <w:lang w:val="es-ES_tradnl"/>
    </w:rPr>
  </w:style>
  <w:style w:type="character" w:customStyle="1" w:styleId="TextocomentarioCar">
    <w:name w:val="Texto comentario Car"/>
    <w:basedOn w:val="Fuentedeprrafopredeter"/>
    <w:link w:val="Textocomentario"/>
    <w:uiPriority w:val="99"/>
    <w:semiHidden/>
    <w:rsid w:val="004C121A"/>
    <w:rPr>
      <w:rFonts w:eastAsiaTheme="minorEastAsia"/>
      <w:sz w:val="20"/>
      <w:szCs w:val="20"/>
      <w:lang w:val="es-ES_tradnl"/>
    </w:rPr>
  </w:style>
  <w:style w:type="paragraph" w:styleId="Textodeglobo">
    <w:name w:val="Balloon Text"/>
    <w:basedOn w:val="Normal"/>
    <w:link w:val="TextodegloboCar"/>
    <w:uiPriority w:val="99"/>
    <w:semiHidden/>
    <w:unhideWhenUsed/>
    <w:rsid w:val="004C12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121A"/>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E264A"/>
    <w:pPr>
      <w:spacing w:after="200"/>
    </w:pPr>
    <w:rPr>
      <w:rFonts w:eastAsiaTheme="minorHAnsi"/>
      <w:b/>
      <w:bCs/>
      <w:lang w:val="es-MX"/>
    </w:rPr>
  </w:style>
  <w:style w:type="character" w:customStyle="1" w:styleId="AsuntodelcomentarioCar">
    <w:name w:val="Asunto del comentario Car"/>
    <w:basedOn w:val="TextocomentarioCar"/>
    <w:link w:val="Asuntodelcomentario"/>
    <w:uiPriority w:val="99"/>
    <w:semiHidden/>
    <w:rsid w:val="002E264A"/>
    <w:rPr>
      <w:rFonts w:eastAsiaTheme="minorEastAsia"/>
      <w:b/>
      <w:bCs/>
      <w:sz w:val="20"/>
      <w:szCs w:val="20"/>
      <w:lang w:val="es-ES_tradnl"/>
    </w:rPr>
  </w:style>
  <w:style w:type="paragraph" w:styleId="Encabezado">
    <w:name w:val="header"/>
    <w:basedOn w:val="Normal"/>
    <w:link w:val="EncabezadoCar"/>
    <w:uiPriority w:val="99"/>
    <w:unhideWhenUsed/>
    <w:rsid w:val="005138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386F"/>
  </w:style>
  <w:style w:type="paragraph" w:styleId="Piedepgina">
    <w:name w:val="footer"/>
    <w:basedOn w:val="Normal"/>
    <w:link w:val="PiedepginaCar"/>
    <w:uiPriority w:val="99"/>
    <w:semiHidden/>
    <w:unhideWhenUsed/>
    <w:rsid w:val="005138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1386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D33FC-0143-4F90-AB4C-8606A8675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1035</Words>
  <Characters>5694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Julio</cp:lastModifiedBy>
  <cp:revision>6</cp:revision>
  <dcterms:created xsi:type="dcterms:W3CDTF">2018-06-07T15:12:00Z</dcterms:created>
  <dcterms:modified xsi:type="dcterms:W3CDTF">2018-07-31T16:44:00Z</dcterms:modified>
</cp:coreProperties>
</file>