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4F1" w:rsidRDefault="00C624F1" w:rsidP="00322439">
      <w:pPr>
        <w:pStyle w:val="Textoindependiente"/>
        <w:jc w:val="center"/>
        <w:rPr>
          <w:rFonts w:ascii="Frutiger-Light" w:hAnsi="Frutiger-Light"/>
          <w:b/>
          <w:bCs/>
          <w:sz w:val="28"/>
          <w:szCs w:val="28"/>
        </w:rPr>
      </w:pPr>
    </w:p>
    <w:p w:rsidR="00D66841" w:rsidRDefault="0099390A" w:rsidP="00322439">
      <w:pPr>
        <w:pStyle w:val="Textoindependiente"/>
        <w:jc w:val="center"/>
        <w:rPr>
          <w:rFonts w:ascii="Frutiger-Light" w:hAnsi="Frutiger-Light"/>
          <w:b/>
          <w:bCs/>
          <w:sz w:val="28"/>
          <w:szCs w:val="28"/>
        </w:rPr>
      </w:pPr>
      <w:r>
        <w:rPr>
          <w:rFonts w:ascii="Frutiger-Light" w:hAnsi="Frutiger-Light"/>
          <w:b/>
          <w:bCs/>
          <w:sz w:val="28"/>
          <w:szCs w:val="28"/>
        </w:rPr>
        <w:t>ANEXO “N</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607F9C" w:rsidRPr="00607F9C">
        <w:rPr>
          <w:rFonts w:cs="Arial"/>
          <w:b/>
          <w:sz w:val="20"/>
        </w:rPr>
        <w:t xml:space="preserve">Del 01 de enero al 31 de diciembre de 2016 y </w:t>
      </w:r>
      <w:r w:rsidR="0025733F">
        <w:rPr>
          <w:rFonts w:cs="Arial"/>
          <w:b/>
          <w:sz w:val="20"/>
        </w:rPr>
        <w:t>Eventos posteriores.</w:t>
      </w:r>
    </w:p>
    <w:p w:rsidR="00726EE0" w:rsidRDefault="00726EE0" w:rsidP="00322439">
      <w:pPr>
        <w:pStyle w:val="Textoindependiente"/>
        <w:jc w:val="center"/>
        <w:rPr>
          <w:rFonts w:cs="Arial"/>
          <w:b/>
          <w:sz w:val="20"/>
        </w:rPr>
      </w:pPr>
    </w:p>
    <w:p w:rsidR="00D66841" w:rsidRPr="00D66841" w:rsidRDefault="00112C8E" w:rsidP="00726EE0">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146ADA">
        <w:rPr>
          <w:rFonts w:ascii="Frutiger-Light" w:hAnsi="Frutiger-Light"/>
          <w:b/>
          <w:sz w:val="21"/>
          <w:szCs w:val="21"/>
        </w:rPr>
        <w:t>4</w:t>
      </w:r>
      <w:r w:rsidR="0099390A">
        <w:rPr>
          <w:rFonts w:ascii="Frutiger-Light" w:hAnsi="Frutiger-Light"/>
          <w:b/>
          <w:sz w:val="21"/>
          <w:szCs w:val="21"/>
        </w:rPr>
        <w:t>.7</w:t>
      </w:r>
      <w:r w:rsidR="00726EE0">
        <w:rPr>
          <w:rFonts w:ascii="Frutiger-Light" w:hAnsi="Frutiger-Light"/>
          <w:b/>
          <w:sz w:val="21"/>
          <w:szCs w:val="21"/>
        </w:rPr>
        <w:t xml:space="preserve"> </w:t>
      </w:r>
      <w:r w:rsidR="009860CE">
        <w:rPr>
          <w:rFonts w:ascii="Frutiger-Light" w:hAnsi="Frutiger-Light"/>
          <w:b/>
          <w:sz w:val="21"/>
          <w:szCs w:val="21"/>
        </w:rPr>
        <w:t>P</w:t>
      </w:r>
      <w:r w:rsidR="0026061B">
        <w:rPr>
          <w:rFonts w:ascii="Frutiger-Light" w:hAnsi="Frutiger-Light"/>
          <w:b/>
          <w:sz w:val="21"/>
          <w:szCs w:val="21"/>
        </w:rPr>
        <w:t xml:space="preserve">ágina </w:t>
      </w:r>
      <w:r w:rsidR="0099390A">
        <w:rPr>
          <w:rFonts w:ascii="Frutiger-Light" w:hAnsi="Frutiger-Light"/>
          <w:b/>
          <w:sz w:val="21"/>
          <w:szCs w:val="21"/>
        </w:rPr>
        <w:t>12</w:t>
      </w:r>
      <w:r w:rsidR="00726EE0">
        <w:rPr>
          <w:rFonts w:ascii="Frutiger-Light" w:hAnsi="Frutiger-Light"/>
          <w:b/>
          <w:sz w:val="21"/>
          <w:szCs w:val="21"/>
        </w:rPr>
        <w:t xml:space="preserve"> </w:t>
      </w:r>
      <w:r w:rsidR="0025733F">
        <w:rPr>
          <w:rFonts w:ascii="Frutiger-Light" w:hAnsi="Frutiger-Light"/>
          <w:b/>
          <w:sz w:val="21"/>
          <w:szCs w:val="21"/>
        </w:rPr>
        <w:t>de 13</w:t>
      </w:r>
      <w:r w:rsidR="00D66841" w:rsidRPr="00D66841">
        <w:rPr>
          <w:rFonts w:ascii="Frutiger-Light" w:hAnsi="Frutiger-Light"/>
          <w:b/>
          <w:sz w:val="21"/>
          <w:szCs w:val="21"/>
        </w:rPr>
        <w:t>.</w:t>
      </w:r>
    </w:p>
    <w:p w:rsidR="00C624F1" w:rsidRDefault="00C624F1" w:rsidP="00146ADA">
      <w:pPr>
        <w:jc w:val="both"/>
        <w:rPr>
          <w:rFonts w:ascii="Arial" w:hAnsi="Arial" w:cs="Arial"/>
          <w:b/>
          <w:lang w:eastAsia="es-MX"/>
        </w:rPr>
      </w:pPr>
    </w:p>
    <w:p w:rsidR="00146ADA" w:rsidRPr="003E2E01" w:rsidRDefault="00146ADA" w:rsidP="00146ADA">
      <w:pPr>
        <w:jc w:val="both"/>
        <w:rPr>
          <w:rFonts w:ascii="Arial" w:hAnsi="Arial" w:cs="Arial"/>
          <w:b/>
        </w:rPr>
      </w:pPr>
      <w:bookmarkStart w:id="0" w:name="_GoBack"/>
      <w:r w:rsidRPr="003E2E01">
        <w:rPr>
          <w:rFonts w:ascii="Arial" w:hAnsi="Arial" w:cs="Arial"/>
          <w:b/>
          <w:lang w:eastAsia="es-MX"/>
        </w:rPr>
        <w:t xml:space="preserve">4.0.- </w:t>
      </w:r>
      <w:r w:rsidRPr="003E2E01">
        <w:rPr>
          <w:rFonts w:ascii="Arial" w:hAnsi="Arial" w:cs="Arial"/>
          <w:b/>
        </w:rPr>
        <w:t>NOMINAS Y SERVICIOS PERSONALES.</w:t>
      </w:r>
    </w:p>
    <w:p w:rsidR="0099390A" w:rsidRPr="003E2E01" w:rsidRDefault="0099390A" w:rsidP="0099390A">
      <w:pPr>
        <w:pStyle w:val="Prrafodelista"/>
        <w:ind w:left="0"/>
        <w:jc w:val="both"/>
        <w:rPr>
          <w:rFonts w:ascii="Arial" w:hAnsi="Arial" w:cs="Arial"/>
          <w:b/>
          <w:i/>
          <w:u w:val="single"/>
          <w:lang w:eastAsia="es-MX"/>
        </w:rPr>
      </w:pPr>
      <w:r w:rsidRPr="003E2E01">
        <w:rPr>
          <w:rFonts w:ascii="Arial" w:hAnsi="Arial" w:cs="Arial"/>
          <w:b/>
          <w:i/>
          <w:u w:val="single"/>
          <w:lang w:eastAsia="es-MX"/>
        </w:rPr>
        <w:t>Diferencias en el Importe del Salario Diario Integrado de las Nóminas contra la Cédula de Determinación de Cuotas del IMSS (Salario Base de Cotización).</w:t>
      </w:r>
    </w:p>
    <w:p w:rsidR="0058107E" w:rsidRDefault="00051F4B" w:rsidP="0058107E">
      <w:pPr>
        <w:rPr>
          <w:rFonts w:ascii="Frutiger-Light" w:hAnsi="Frutiger-Light"/>
          <w:b/>
          <w:i/>
          <w:sz w:val="21"/>
          <w:szCs w:val="21"/>
          <w:u w:val="single"/>
        </w:rPr>
      </w:pPr>
      <w:r w:rsidRPr="003E2E01">
        <w:rPr>
          <w:rFonts w:ascii="Arial" w:hAnsi="Arial" w:cs="Arial"/>
          <w:b/>
          <w:i/>
          <w:u w:val="single"/>
        </w:rPr>
        <w:t>Contestación:</w:t>
      </w:r>
      <w:bookmarkEnd w:id="0"/>
    </w:p>
    <w:p w:rsidR="0099390A" w:rsidRPr="00C624F1" w:rsidRDefault="00146ADA" w:rsidP="0099390A">
      <w:pPr>
        <w:jc w:val="both"/>
        <w:rPr>
          <w:rFonts w:ascii="Arial" w:eastAsia="Calibri" w:hAnsi="Arial" w:cs="Arial"/>
          <w:sz w:val="19"/>
          <w:szCs w:val="19"/>
        </w:rPr>
      </w:pPr>
      <w:r w:rsidRPr="00C624F1">
        <w:rPr>
          <w:rFonts w:ascii="Arial" w:hAnsi="Arial" w:cs="Arial"/>
          <w:b/>
          <w:sz w:val="19"/>
          <w:szCs w:val="19"/>
        </w:rPr>
        <w:t>4.</w:t>
      </w:r>
      <w:r w:rsidR="0099390A" w:rsidRPr="00C624F1">
        <w:rPr>
          <w:rFonts w:ascii="Arial" w:hAnsi="Arial" w:cs="Arial"/>
          <w:b/>
          <w:sz w:val="19"/>
          <w:szCs w:val="19"/>
        </w:rPr>
        <w:t xml:space="preserve">7.- </w:t>
      </w:r>
      <w:r w:rsidR="0099390A" w:rsidRPr="00C624F1">
        <w:rPr>
          <w:rFonts w:ascii="Arial" w:eastAsia="Calibri" w:hAnsi="Arial" w:cs="Arial"/>
          <w:sz w:val="19"/>
          <w:szCs w:val="19"/>
        </w:rPr>
        <w:t>El Salario Diario Integrado (SDI) que reflejan las listas de raya (documentos que se denominan en la observación como nóminas) no es sobre el que se enteran las aportaciones correspondientes al Instituto Mexicano del Seguro Social (IMSS), ya que el sistema que se utiliza en el IIEG para el cálculo de la nómina (nomipaq) no estaba correctamente formulado para realizar el cálculo del SDI en nuestras listas de raya (documentos que se denominan en la observación como nóminas).</w:t>
      </w:r>
    </w:p>
    <w:p w:rsidR="0099390A" w:rsidRPr="00C624F1" w:rsidRDefault="0099390A" w:rsidP="0099390A">
      <w:pPr>
        <w:jc w:val="both"/>
        <w:rPr>
          <w:rFonts w:ascii="Arial" w:eastAsia="Calibri" w:hAnsi="Arial" w:cs="Arial"/>
          <w:sz w:val="19"/>
          <w:szCs w:val="19"/>
          <w:u w:val="single"/>
        </w:rPr>
      </w:pPr>
      <w:r w:rsidRPr="00C624F1">
        <w:rPr>
          <w:rFonts w:ascii="Arial" w:eastAsia="Calibri" w:hAnsi="Arial" w:cs="Arial"/>
          <w:sz w:val="19"/>
          <w:szCs w:val="19"/>
        </w:rPr>
        <w:t xml:space="preserve">Durante la auditoría, se entregó -al personal que la llevo a cabo- el archivo de trabajo que contiene los conceptos que integran el salario diario conforme a las percepciones ordinarias de los trabajadores de este Instituto, tal y como lo señala el artículo 27 de la Ley del IMSS, </w:t>
      </w:r>
      <w:r w:rsidRPr="00C624F1">
        <w:rPr>
          <w:rFonts w:ascii="Arial" w:eastAsia="Calibri" w:hAnsi="Arial" w:cs="Arial"/>
          <w:sz w:val="19"/>
          <w:szCs w:val="19"/>
          <w:u w:val="single"/>
        </w:rPr>
        <w:t>y es, sobre ese monto, no sobre el que reflejan las listas de raya, que se enteran las aportaciones mensuales al IMSS.</w:t>
      </w:r>
    </w:p>
    <w:p w:rsidR="0099390A" w:rsidRPr="00C624F1" w:rsidRDefault="0099390A" w:rsidP="0099390A">
      <w:pPr>
        <w:jc w:val="both"/>
        <w:rPr>
          <w:rFonts w:ascii="Arial" w:eastAsia="Calibri" w:hAnsi="Arial" w:cs="Arial"/>
          <w:sz w:val="19"/>
          <w:szCs w:val="19"/>
        </w:rPr>
      </w:pPr>
      <w:r w:rsidRPr="00C624F1">
        <w:rPr>
          <w:rFonts w:ascii="Arial" w:eastAsia="Calibri" w:hAnsi="Arial" w:cs="Arial"/>
          <w:sz w:val="19"/>
          <w:szCs w:val="19"/>
        </w:rPr>
        <w:t xml:space="preserve">A la fecha de hoy y a partir de su observación, se ha modificado ya la formulación del sistema (nomipaq) para que el SDI aparezca en la lista de raya correctamente y corresponda a lo pagado en las cédulas, por lo que su recomendación referente a </w:t>
      </w:r>
      <w:r w:rsidRPr="00C624F1">
        <w:rPr>
          <w:rFonts w:ascii="Arial" w:eastAsia="Calibri" w:hAnsi="Arial" w:cs="Arial"/>
          <w:i/>
          <w:sz w:val="19"/>
          <w:szCs w:val="19"/>
        </w:rPr>
        <w:t>“instruir al personal responsable para que en lo sucesivo se implementen acciones procedentes que eviten la concurrencia de conductas o decisiones que no se apeguen estrictamente a la normatividad”,</w:t>
      </w:r>
      <w:r w:rsidRPr="00C624F1">
        <w:rPr>
          <w:rFonts w:ascii="Arial" w:eastAsia="Calibri" w:hAnsi="Arial" w:cs="Arial"/>
          <w:sz w:val="19"/>
          <w:szCs w:val="19"/>
        </w:rPr>
        <w:t xml:space="preserve"> materialmente ha sido ya cumplida.</w:t>
      </w:r>
    </w:p>
    <w:p w:rsidR="0099390A" w:rsidRPr="00C624F1" w:rsidRDefault="0099390A" w:rsidP="0099390A">
      <w:pPr>
        <w:jc w:val="both"/>
        <w:rPr>
          <w:rFonts w:ascii="Arial" w:eastAsia="Calibri" w:hAnsi="Arial" w:cs="Arial"/>
          <w:sz w:val="19"/>
          <w:szCs w:val="19"/>
        </w:rPr>
      </w:pPr>
      <w:r w:rsidRPr="00C624F1">
        <w:rPr>
          <w:rFonts w:ascii="Arial" w:eastAsia="Calibri" w:hAnsi="Arial" w:cs="Arial"/>
          <w:sz w:val="19"/>
          <w:szCs w:val="19"/>
        </w:rPr>
        <w:t>Resulta importante señalar que esto no ha afectado, ni afecta actualmente en los montos enterados al Instituto Mexicano del Seguro Social, ya que éstos siempre fueron enterados y pagados de manera correcta, por lo que no existe riesgo de posible daño patrimonial para el IIEG ni tampoco la necesidad de presentar corrección alguna ante el IMSS</w:t>
      </w:r>
    </w:p>
    <w:p w:rsidR="0099390A" w:rsidRPr="00C624F1" w:rsidRDefault="0099390A" w:rsidP="0099390A">
      <w:pPr>
        <w:jc w:val="both"/>
        <w:rPr>
          <w:rFonts w:ascii="Arial" w:eastAsia="Calibri" w:hAnsi="Arial" w:cs="Arial"/>
          <w:sz w:val="19"/>
          <w:szCs w:val="19"/>
        </w:rPr>
      </w:pPr>
      <w:r w:rsidRPr="00C624F1">
        <w:rPr>
          <w:rFonts w:ascii="Arial" w:eastAsia="Calibri" w:hAnsi="Arial" w:cs="Arial"/>
          <w:sz w:val="19"/>
          <w:szCs w:val="19"/>
        </w:rPr>
        <w:t>Para efectos de acreditar lo vertido en líneas anteriores y como evidencia documental de lo corregido en el sistema, se anexa la siguiente documentación:</w:t>
      </w:r>
    </w:p>
    <w:p w:rsidR="0099390A" w:rsidRPr="00C624F1" w:rsidRDefault="0099390A" w:rsidP="0099390A">
      <w:pPr>
        <w:pStyle w:val="Prrafodelista"/>
        <w:numPr>
          <w:ilvl w:val="0"/>
          <w:numId w:val="24"/>
        </w:numPr>
        <w:contextualSpacing w:val="0"/>
        <w:jc w:val="both"/>
        <w:rPr>
          <w:rFonts w:ascii="Arial" w:eastAsia="Calibri" w:hAnsi="Arial" w:cs="Arial"/>
          <w:sz w:val="19"/>
          <w:szCs w:val="19"/>
        </w:rPr>
      </w:pPr>
      <w:r w:rsidRPr="00C624F1">
        <w:rPr>
          <w:rFonts w:ascii="Arial" w:eastAsia="Calibri" w:hAnsi="Arial" w:cs="Arial"/>
          <w:sz w:val="19"/>
          <w:szCs w:val="19"/>
        </w:rPr>
        <w:t xml:space="preserve">Lista de raya del mes de diciembre de 2017 </w:t>
      </w:r>
    </w:p>
    <w:p w:rsidR="0099390A" w:rsidRPr="00C624F1" w:rsidRDefault="0099390A" w:rsidP="0099390A">
      <w:pPr>
        <w:pStyle w:val="Prrafodelista"/>
        <w:numPr>
          <w:ilvl w:val="0"/>
          <w:numId w:val="24"/>
        </w:numPr>
        <w:contextualSpacing w:val="0"/>
        <w:jc w:val="both"/>
        <w:rPr>
          <w:rFonts w:ascii="Arial" w:eastAsia="Calibri" w:hAnsi="Arial" w:cs="Arial"/>
          <w:sz w:val="19"/>
          <w:szCs w:val="19"/>
        </w:rPr>
      </w:pPr>
      <w:r w:rsidRPr="00C624F1">
        <w:rPr>
          <w:rFonts w:ascii="Arial" w:eastAsia="Calibri" w:hAnsi="Arial" w:cs="Arial"/>
          <w:sz w:val="19"/>
          <w:szCs w:val="19"/>
        </w:rPr>
        <w:t xml:space="preserve">Lista de raya del mes de enero 2018 </w:t>
      </w:r>
    </w:p>
    <w:p w:rsidR="0099390A" w:rsidRPr="00C624F1" w:rsidRDefault="0099390A" w:rsidP="0099390A">
      <w:pPr>
        <w:pStyle w:val="Prrafodelista"/>
        <w:numPr>
          <w:ilvl w:val="0"/>
          <w:numId w:val="24"/>
        </w:numPr>
        <w:contextualSpacing w:val="0"/>
        <w:jc w:val="both"/>
        <w:rPr>
          <w:rFonts w:ascii="Arial" w:eastAsia="Calibri" w:hAnsi="Arial" w:cs="Arial"/>
          <w:sz w:val="19"/>
          <w:szCs w:val="19"/>
        </w:rPr>
      </w:pPr>
      <w:r w:rsidRPr="00C624F1">
        <w:rPr>
          <w:rFonts w:ascii="Arial" w:eastAsia="Calibri" w:hAnsi="Arial" w:cs="Arial"/>
          <w:sz w:val="19"/>
          <w:szCs w:val="19"/>
        </w:rPr>
        <w:t>Lista de raya del mes de marzo de 2018</w:t>
      </w:r>
    </w:p>
    <w:p w:rsidR="0099390A" w:rsidRPr="00C624F1" w:rsidRDefault="0099390A" w:rsidP="0099390A">
      <w:pPr>
        <w:pStyle w:val="Prrafodelista"/>
        <w:numPr>
          <w:ilvl w:val="0"/>
          <w:numId w:val="24"/>
        </w:numPr>
        <w:contextualSpacing w:val="0"/>
        <w:jc w:val="both"/>
        <w:rPr>
          <w:rFonts w:ascii="Arial" w:eastAsia="Calibri" w:hAnsi="Arial" w:cs="Arial"/>
          <w:sz w:val="19"/>
          <w:szCs w:val="19"/>
        </w:rPr>
      </w:pPr>
      <w:r w:rsidRPr="00C624F1">
        <w:rPr>
          <w:rFonts w:ascii="Arial" w:eastAsia="Calibri" w:hAnsi="Arial" w:cs="Arial"/>
          <w:sz w:val="19"/>
          <w:szCs w:val="19"/>
        </w:rPr>
        <w:t>Cédula de determinación de cuotas del mes de diciembre de 2017</w:t>
      </w:r>
    </w:p>
    <w:p w:rsidR="0099390A" w:rsidRPr="00C624F1" w:rsidRDefault="0099390A" w:rsidP="0099390A">
      <w:pPr>
        <w:pStyle w:val="Prrafodelista"/>
        <w:numPr>
          <w:ilvl w:val="0"/>
          <w:numId w:val="24"/>
        </w:numPr>
        <w:contextualSpacing w:val="0"/>
        <w:jc w:val="both"/>
        <w:rPr>
          <w:rFonts w:ascii="Arial" w:eastAsia="Calibri" w:hAnsi="Arial" w:cs="Arial"/>
          <w:sz w:val="19"/>
          <w:szCs w:val="19"/>
        </w:rPr>
      </w:pPr>
      <w:r w:rsidRPr="00C624F1">
        <w:rPr>
          <w:rFonts w:ascii="Arial" w:eastAsia="Calibri" w:hAnsi="Arial" w:cs="Arial"/>
          <w:sz w:val="19"/>
          <w:szCs w:val="19"/>
        </w:rPr>
        <w:t xml:space="preserve">Cédula de determinación de cuotas del mes de enero de 2018 </w:t>
      </w:r>
    </w:p>
    <w:p w:rsidR="0099390A" w:rsidRPr="00C624F1" w:rsidRDefault="0099390A" w:rsidP="0099390A">
      <w:pPr>
        <w:pStyle w:val="Prrafodelista"/>
        <w:numPr>
          <w:ilvl w:val="0"/>
          <w:numId w:val="24"/>
        </w:numPr>
        <w:contextualSpacing w:val="0"/>
        <w:jc w:val="both"/>
        <w:rPr>
          <w:rFonts w:ascii="Arial" w:eastAsia="Calibri" w:hAnsi="Arial" w:cs="Arial"/>
          <w:sz w:val="19"/>
          <w:szCs w:val="19"/>
        </w:rPr>
      </w:pPr>
      <w:r w:rsidRPr="00C624F1">
        <w:rPr>
          <w:rFonts w:ascii="Arial" w:eastAsia="Calibri" w:hAnsi="Arial" w:cs="Arial"/>
          <w:sz w:val="19"/>
          <w:szCs w:val="19"/>
        </w:rPr>
        <w:t>Cédula de determinación de cuotas del mes de marzo de 2018</w:t>
      </w:r>
    </w:p>
    <w:p w:rsidR="009119BA" w:rsidRPr="00C624F1" w:rsidRDefault="009119BA" w:rsidP="0099390A">
      <w:pPr>
        <w:spacing w:line="240" w:lineRule="auto"/>
        <w:jc w:val="both"/>
        <w:rPr>
          <w:rFonts w:ascii="Arial" w:hAnsi="Arial" w:cs="Arial"/>
          <w:sz w:val="19"/>
          <w:szCs w:val="19"/>
        </w:rPr>
      </w:pPr>
    </w:p>
    <w:sectPr w:rsidR="009119BA" w:rsidRPr="00C624F1" w:rsidSect="00EE2D49">
      <w:headerReference w:type="default" r:id="rId8"/>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2E6" w:rsidRDefault="00D802E6" w:rsidP="00C624F1">
      <w:pPr>
        <w:spacing w:after="0" w:line="240" w:lineRule="auto"/>
      </w:pPr>
      <w:r>
        <w:separator/>
      </w:r>
    </w:p>
  </w:endnote>
  <w:endnote w:type="continuationSeparator" w:id="1">
    <w:p w:rsidR="00D802E6" w:rsidRDefault="00D802E6" w:rsidP="00C624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2E6" w:rsidRDefault="00D802E6" w:rsidP="00C624F1">
      <w:pPr>
        <w:spacing w:after="0" w:line="240" w:lineRule="auto"/>
      </w:pPr>
      <w:r>
        <w:separator/>
      </w:r>
    </w:p>
  </w:footnote>
  <w:footnote w:type="continuationSeparator" w:id="1">
    <w:p w:rsidR="00D802E6" w:rsidRDefault="00D802E6" w:rsidP="00C624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4F1" w:rsidRDefault="00C624F1">
    <w:pPr>
      <w:pStyle w:val="Encabezado"/>
      <w:jc w:val="right"/>
    </w:pPr>
  </w:p>
  <w:p w:rsidR="00C624F1" w:rsidRDefault="00C624F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8B7"/>
    <w:multiLevelType w:val="hybridMultilevel"/>
    <w:tmpl w:val="7F8CC5CE"/>
    <w:lvl w:ilvl="0" w:tplc="080A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067AD7"/>
    <w:multiLevelType w:val="hybridMultilevel"/>
    <w:tmpl w:val="D4C4D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DE3EAA"/>
    <w:multiLevelType w:val="hybridMultilevel"/>
    <w:tmpl w:val="1696BB9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nsid w:val="0DEA0349"/>
    <w:multiLevelType w:val="hybridMultilevel"/>
    <w:tmpl w:val="5A2E1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192566EE"/>
    <w:multiLevelType w:val="hybridMultilevel"/>
    <w:tmpl w:val="121C36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D7D07DD"/>
    <w:multiLevelType w:val="hybridMultilevel"/>
    <w:tmpl w:val="C792C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5E503E8"/>
    <w:multiLevelType w:val="hybridMultilevel"/>
    <w:tmpl w:val="17F8CD6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AC61D44"/>
    <w:multiLevelType w:val="hybridMultilevel"/>
    <w:tmpl w:val="0FDCEE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6692843"/>
    <w:multiLevelType w:val="hybridMultilevel"/>
    <w:tmpl w:val="B354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73C41A0"/>
    <w:multiLevelType w:val="hybridMultilevel"/>
    <w:tmpl w:val="AD949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D5118C"/>
    <w:multiLevelType w:val="hybridMultilevel"/>
    <w:tmpl w:val="96F6C9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9FA64E7"/>
    <w:multiLevelType w:val="hybridMultilevel"/>
    <w:tmpl w:val="79FC2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EBE4E18"/>
    <w:multiLevelType w:val="hybridMultilevel"/>
    <w:tmpl w:val="5AFC05D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DF6ADC"/>
    <w:multiLevelType w:val="hybridMultilevel"/>
    <w:tmpl w:val="8CE812E0"/>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BC3152"/>
    <w:multiLevelType w:val="hybridMultilevel"/>
    <w:tmpl w:val="B948961E"/>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0C3C64"/>
    <w:multiLevelType w:val="multilevel"/>
    <w:tmpl w:val="FBA44E36"/>
    <w:lvl w:ilvl="0">
      <w:start w:val="1"/>
      <w:numFmt w:val="lowerLetter"/>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9">
    <w:nsid w:val="66064300"/>
    <w:multiLevelType w:val="hybridMultilevel"/>
    <w:tmpl w:val="0B229498"/>
    <w:lvl w:ilvl="0" w:tplc="211EC896">
      <w:start w:val="1"/>
      <w:numFmt w:val="decimal"/>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95F38E7"/>
    <w:multiLevelType w:val="hybridMultilevel"/>
    <w:tmpl w:val="5B2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1FC1A34"/>
    <w:multiLevelType w:val="hybridMultilevel"/>
    <w:tmpl w:val="9B56A2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6"/>
  </w:num>
  <w:num w:numId="3">
    <w:abstractNumId w:val="9"/>
  </w:num>
  <w:num w:numId="4">
    <w:abstractNumId w:val="22"/>
  </w:num>
  <w:num w:numId="5">
    <w:abstractNumId w:val="4"/>
  </w:num>
  <w:num w:numId="6">
    <w:abstractNumId w:val="16"/>
  </w:num>
  <w:num w:numId="7">
    <w:abstractNumId w:val="19"/>
  </w:num>
  <w:num w:numId="8">
    <w:abstractNumId w:val="8"/>
  </w:num>
  <w:num w:numId="9">
    <w:abstractNumId w:val="2"/>
  </w:num>
  <w:num w:numId="10">
    <w:abstractNumId w:val="3"/>
  </w:num>
  <w:num w:numId="11">
    <w:abstractNumId w:val="12"/>
  </w:num>
  <w:num w:numId="12">
    <w:abstractNumId w:val="11"/>
  </w:num>
  <w:num w:numId="13">
    <w:abstractNumId w:val="1"/>
  </w:num>
  <w:num w:numId="14">
    <w:abstractNumId w:val="5"/>
  </w:num>
  <w:num w:numId="15">
    <w:abstractNumId w:val="14"/>
  </w:num>
  <w:num w:numId="16">
    <w:abstractNumId w:val="7"/>
  </w:num>
  <w:num w:numId="17">
    <w:abstractNumId w:val="20"/>
  </w:num>
  <w:num w:numId="18">
    <w:abstractNumId w:val="15"/>
  </w:num>
  <w:num w:numId="19">
    <w:abstractNumId w:val="13"/>
  </w:num>
  <w:num w:numId="20">
    <w:abstractNumId w:val="18"/>
  </w:num>
  <w:num w:numId="21">
    <w:abstractNumId w:val="0"/>
  </w:num>
  <w:num w:numId="22">
    <w:abstractNumId w:val="17"/>
  </w:num>
  <w:num w:numId="23">
    <w:abstractNumId w:val="1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12775"/>
    <w:rsid w:val="00047693"/>
    <w:rsid w:val="00051F4B"/>
    <w:rsid w:val="0008029C"/>
    <w:rsid w:val="00090080"/>
    <w:rsid w:val="000A1858"/>
    <w:rsid w:val="00112C8E"/>
    <w:rsid w:val="00146ADA"/>
    <w:rsid w:val="001B00F8"/>
    <w:rsid w:val="0025733F"/>
    <w:rsid w:val="0026061B"/>
    <w:rsid w:val="0026313A"/>
    <w:rsid w:val="002B53A3"/>
    <w:rsid w:val="002C5E16"/>
    <w:rsid w:val="002D6395"/>
    <w:rsid w:val="002E264A"/>
    <w:rsid w:val="002E7E1F"/>
    <w:rsid w:val="00322439"/>
    <w:rsid w:val="003E2E01"/>
    <w:rsid w:val="004911C4"/>
    <w:rsid w:val="004A408F"/>
    <w:rsid w:val="004C121A"/>
    <w:rsid w:val="004E6AC9"/>
    <w:rsid w:val="0058107E"/>
    <w:rsid w:val="005B3004"/>
    <w:rsid w:val="005B45A7"/>
    <w:rsid w:val="00607F9C"/>
    <w:rsid w:val="00664FC0"/>
    <w:rsid w:val="00696C36"/>
    <w:rsid w:val="00703B9B"/>
    <w:rsid w:val="00726EE0"/>
    <w:rsid w:val="00783784"/>
    <w:rsid w:val="007901D1"/>
    <w:rsid w:val="007D1B98"/>
    <w:rsid w:val="007E68B8"/>
    <w:rsid w:val="0089168A"/>
    <w:rsid w:val="009119BA"/>
    <w:rsid w:val="009860CE"/>
    <w:rsid w:val="0099390A"/>
    <w:rsid w:val="009B6587"/>
    <w:rsid w:val="00A32AE6"/>
    <w:rsid w:val="00A60A1D"/>
    <w:rsid w:val="00A70B08"/>
    <w:rsid w:val="00A838FB"/>
    <w:rsid w:val="00A861BD"/>
    <w:rsid w:val="00B00C93"/>
    <w:rsid w:val="00C624F1"/>
    <w:rsid w:val="00D33BDA"/>
    <w:rsid w:val="00D66841"/>
    <w:rsid w:val="00D802E6"/>
    <w:rsid w:val="00DC5D8F"/>
    <w:rsid w:val="00EE2D49"/>
    <w:rsid w:val="00F02396"/>
    <w:rsid w:val="00F50580"/>
    <w:rsid w:val="00F81212"/>
    <w:rsid w:val="00F96A0B"/>
    <w:rsid w:val="00FC23D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8B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99"/>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C624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24F1"/>
  </w:style>
  <w:style w:type="paragraph" w:styleId="Piedepgina">
    <w:name w:val="footer"/>
    <w:basedOn w:val="Normal"/>
    <w:link w:val="PiedepginaCar"/>
    <w:uiPriority w:val="99"/>
    <w:semiHidden/>
    <w:unhideWhenUsed/>
    <w:rsid w:val="00C624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624F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53B69B-5932-4BEF-8EB8-BFACB3EE4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Pages>
  <Words>395</Words>
  <Characters>2175</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36</cp:revision>
  <dcterms:created xsi:type="dcterms:W3CDTF">2014-05-22T01:10:00Z</dcterms:created>
  <dcterms:modified xsi:type="dcterms:W3CDTF">2018-07-31T16:44:00Z</dcterms:modified>
</cp:coreProperties>
</file>