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01" w:rsidRDefault="007E3FF2" w:rsidP="007E3FF2">
      <w:pPr>
        <w:pStyle w:val="Textoindependiente"/>
        <w:jc w:val="left"/>
        <w:rPr>
          <w:rFonts w:cs="Arial"/>
          <w:b/>
          <w:bCs/>
          <w:sz w:val="28"/>
          <w:szCs w:val="28"/>
        </w:rPr>
      </w:pPr>
      <w:r w:rsidRPr="006C6101">
        <w:rPr>
          <w:rFonts w:cs="Arial"/>
          <w:b/>
          <w:bCs/>
          <w:noProof/>
          <w:sz w:val="28"/>
          <w:szCs w:val="28"/>
          <w:lang w:eastAsia="es-MX"/>
        </w:rPr>
        <w:drawing>
          <wp:inline distT="0" distB="0" distL="0" distR="0">
            <wp:extent cx="3287681" cy="925033"/>
            <wp:effectExtent l="19050" t="0" r="7969"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5" cstate="print">
                      <a:extLst/>
                    </a:blip>
                    <a:srcRect/>
                    <a:stretch>
                      <a:fillRect/>
                    </a:stretch>
                  </pic:blipFill>
                  <pic:spPr bwMode="auto">
                    <a:xfrm>
                      <a:off x="0" y="0"/>
                      <a:ext cx="3309516" cy="931177"/>
                    </a:xfrm>
                    <a:prstGeom prst="rect">
                      <a:avLst/>
                    </a:prstGeom>
                    <a:ln>
                      <a:noFill/>
                    </a:ln>
                    <a:effectLst>
                      <a:softEdge rad="112500"/>
                    </a:effectLst>
                    <a:extLst/>
                  </pic:spPr>
                </pic:pic>
              </a:graphicData>
            </a:graphic>
          </wp:inline>
        </w:drawing>
      </w:r>
    </w:p>
    <w:p w:rsidR="00D66841" w:rsidRPr="006C6101" w:rsidRDefault="00026D80" w:rsidP="006C6101">
      <w:pPr>
        <w:pStyle w:val="Textoindependiente"/>
        <w:jc w:val="center"/>
        <w:rPr>
          <w:rFonts w:cs="Arial"/>
          <w:b/>
          <w:bCs/>
          <w:sz w:val="28"/>
          <w:szCs w:val="28"/>
        </w:rPr>
      </w:pPr>
      <w:r w:rsidRPr="006C6101">
        <w:rPr>
          <w:rFonts w:cs="Arial"/>
          <w:b/>
          <w:bCs/>
          <w:sz w:val="28"/>
          <w:szCs w:val="28"/>
        </w:rPr>
        <w:t>ANEXO # 5</w:t>
      </w:r>
    </w:p>
    <w:p w:rsidR="007B7C96" w:rsidRPr="006C6101" w:rsidRDefault="007B7C96" w:rsidP="007B7C96">
      <w:pPr>
        <w:pStyle w:val="Textoindependiente"/>
        <w:jc w:val="center"/>
        <w:rPr>
          <w:rFonts w:cs="Arial"/>
          <w:b/>
          <w:bCs/>
          <w:sz w:val="28"/>
          <w:szCs w:val="28"/>
        </w:rPr>
      </w:pPr>
    </w:p>
    <w:p w:rsidR="007B7C96" w:rsidRPr="006C6101" w:rsidRDefault="007B7C96" w:rsidP="007B7C96">
      <w:pPr>
        <w:pStyle w:val="Textoindependiente"/>
        <w:jc w:val="center"/>
        <w:rPr>
          <w:rFonts w:cs="Arial"/>
          <w:b/>
          <w:bCs/>
          <w:sz w:val="22"/>
          <w:szCs w:val="22"/>
        </w:rPr>
      </w:pPr>
      <w:r w:rsidRPr="006C6101">
        <w:rPr>
          <w:rFonts w:cs="Arial"/>
          <w:b/>
          <w:bCs/>
          <w:sz w:val="22"/>
          <w:szCs w:val="22"/>
        </w:rPr>
        <w:t>FIDEICOMISO DE TURISMO DE LOS MUNICIPIOS DEL INTERIOR DEL ESTADO</w:t>
      </w:r>
    </w:p>
    <w:p w:rsidR="009860CE" w:rsidRPr="006C6101" w:rsidRDefault="007B7C96" w:rsidP="007B7C96">
      <w:pPr>
        <w:pStyle w:val="Textoindependiente"/>
        <w:jc w:val="center"/>
        <w:rPr>
          <w:rFonts w:cs="Arial"/>
          <w:b/>
          <w:sz w:val="20"/>
        </w:rPr>
      </w:pPr>
      <w:r w:rsidRPr="006C6101">
        <w:rPr>
          <w:rFonts w:cs="Arial"/>
          <w:b/>
          <w:bCs/>
          <w:sz w:val="20"/>
        </w:rPr>
        <w:t>Auditoria 01 de Abril al 31 de Octubre  de 2011  y 1° de Junio 2012 al 31 de Agosto de 2013</w:t>
      </w:r>
    </w:p>
    <w:p w:rsidR="00D66841" w:rsidRPr="006C6101" w:rsidRDefault="00B16F32" w:rsidP="007B7C96">
      <w:pPr>
        <w:pStyle w:val="Textoindependiente"/>
        <w:jc w:val="center"/>
        <w:rPr>
          <w:rFonts w:cs="Arial"/>
          <w:b/>
          <w:sz w:val="22"/>
          <w:szCs w:val="22"/>
        </w:rPr>
      </w:pPr>
      <w:proofErr w:type="spellStart"/>
      <w:proofErr w:type="gramStart"/>
      <w:r>
        <w:rPr>
          <w:rFonts w:cs="Arial"/>
          <w:b/>
          <w:sz w:val="22"/>
          <w:szCs w:val="22"/>
        </w:rPr>
        <w:t>Observacion</w:t>
      </w:r>
      <w:proofErr w:type="spellEnd"/>
      <w:r w:rsidR="00F50580" w:rsidRPr="006C6101">
        <w:rPr>
          <w:rFonts w:cs="Arial"/>
          <w:b/>
          <w:sz w:val="22"/>
          <w:szCs w:val="22"/>
        </w:rPr>
        <w:t xml:space="preserve"> </w:t>
      </w:r>
      <w:r w:rsidR="00D66841" w:rsidRPr="006C6101">
        <w:rPr>
          <w:rFonts w:cs="Arial"/>
          <w:b/>
          <w:sz w:val="22"/>
          <w:szCs w:val="22"/>
        </w:rPr>
        <w:t xml:space="preserve"> No</w:t>
      </w:r>
      <w:proofErr w:type="gramEnd"/>
      <w:r w:rsidR="00D66841" w:rsidRPr="006C6101">
        <w:rPr>
          <w:rFonts w:cs="Arial"/>
          <w:b/>
          <w:sz w:val="22"/>
          <w:szCs w:val="22"/>
        </w:rPr>
        <w:t xml:space="preserve">. </w:t>
      </w:r>
      <w:r w:rsidR="00CD55A9" w:rsidRPr="006C6101">
        <w:rPr>
          <w:rFonts w:cs="Arial"/>
          <w:b/>
          <w:sz w:val="22"/>
          <w:szCs w:val="22"/>
        </w:rPr>
        <w:t xml:space="preserve"> </w:t>
      </w:r>
      <w:r w:rsidR="00F50580" w:rsidRPr="006C6101">
        <w:rPr>
          <w:rFonts w:cs="Arial"/>
          <w:b/>
          <w:sz w:val="22"/>
          <w:szCs w:val="22"/>
        </w:rPr>
        <w:t>3</w:t>
      </w:r>
      <w:r w:rsidR="009860CE" w:rsidRPr="006C6101">
        <w:rPr>
          <w:rFonts w:cs="Arial"/>
          <w:b/>
          <w:sz w:val="22"/>
          <w:szCs w:val="22"/>
        </w:rPr>
        <w:t>.</w:t>
      </w:r>
      <w:r w:rsidR="00026D80" w:rsidRPr="006C6101">
        <w:rPr>
          <w:rFonts w:cs="Arial"/>
          <w:b/>
          <w:sz w:val="22"/>
          <w:szCs w:val="22"/>
        </w:rPr>
        <w:t>11</w:t>
      </w:r>
      <w:r w:rsidR="00CD55A9" w:rsidRPr="006C6101">
        <w:rPr>
          <w:rFonts w:cs="Arial"/>
          <w:b/>
          <w:sz w:val="22"/>
          <w:szCs w:val="22"/>
        </w:rPr>
        <w:t xml:space="preserve">.- </w:t>
      </w:r>
      <w:r w:rsidR="009860CE" w:rsidRPr="006C6101">
        <w:rPr>
          <w:rFonts w:cs="Arial"/>
          <w:b/>
          <w:sz w:val="22"/>
          <w:szCs w:val="22"/>
        </w:rPr>
        <w:t xml:space="preserve">  P</w:t>
      </w:r>
      <w:r w:rsidR="00026D80" w:rsidRPr="006C6101">
        <w:rPr>
          <w:rFonts w:cs="Arial"/>
          <w:b/>
          <w:sz w:val="22"/>
          <w:szCs w:val="22"/>
        </w:rPr>
        <w:t>ágina 11</w:t>
      </w:r>
      <w:r w:rsidR="00F50580" w:rsidRPr="006C6101">
        <w:rPr>
          <w:rFonts w:cs="Arial"/>
          <w:b/>
          <w:sz w:val="22"/>
          <w:szCs w:val="22"/>
        </w:rPr>
        <w:t xml:space="preserve"> de 21</w:t>
      </w:r>
      <w:r w:rsidR="00D66841" w:rsidRPr="006C6101">
        <w:rPr>
          <w:rFonts w:cs="Arial"/>
          <w:b/>
          <w:sz w:val="22"/>
          <w:szCs w:val="22"/>
        </w:rPr>
        <w:t>.</w:t>
      </w:r>
    </w:p>
    <w:p w:rsidR="00D66841" w:rsidRPr="006C6101" w:rsidRDefault="00D66841" w:rsidP="00D66841">
      <w:pPr>
        <w:pStyle w:val="Textoindependiente"/>
        <w:jc w:val="center"/>
        <w:rPr>
          <w:rFonts w:cs="Arial"/>
          <w:b/>
          <w:bCs/>
          <w:sz w:val="22"/>
          <w:szCs w:val="22"/>
        </w:rPr>
      </w:pPr>
    </w:p>
    <w:p w:rsidR="0029013B" w:rsidRPr="006C6101" w:rsidRDefault="00BF59AF" w:rsidP="0029013B">
      <w:pPr>
        <w:rPr>
          <w:rFonts w:ascii="Arial" w:hAnsi="Arial" w:cs="Arial"/>
          <w:b/>
          <w:sz w:val="20"/>
          <w:szCs w:val="20"/>
          <w:u w:val="single"/>
        </w:rPr>
      </w:pPr>
      <w:r w:rsidRPr="006C6101">
        <w:rPr>
          <w:rFonts w:ascii="Arial" w:hAnsi="Arial" w:cs="Arial"/>
          <w:b/>
          <w:sz w:val="20"/>
          <w:szCs w:val="20"/>
          <w:u w:val="single"/>
        </w:rPr>
        <w:t>Contestación:</w:t>
      </w:r>
    </w:p>
    <w:p w:rsidR="00026D80" w:rsidRPr="006C6101" w:rsidRDefault="00026D80" w:rsidP="00026D80">
      <w:pPr>
        <w:jc w:val="both"/>
        <w:rPr>
          <w:rFonts w:ascii="Arial" w:hAnsi="Arial" w:cs="Arial"/>
          <w:b/>
          <w:bCs/>
          <w:i/>
          <w:sz w:val="20"/>
          <w:szCs w:val="20"/>
          <w:u w:val="single"/>
        </w:rPr>
      </w:pPr>
      <w:r w:rsidRPr="006C6101">
        <w:rPr>
          <w:rFonts w:ascii="Arial" w:hAnsi="Arial" w:cs="Arial"/>
          <w:b/>
          <w:sz w:val="20"/>
          <w:szCs w:val="20"/>
        </w:rPr>
        <w:t>3.11</w:t>
      </w:r>
      <w:r w:rsidR="0029013B" w:rsidRPr="006C6101">
        <w:rPr>
          <w:rFonts w:ascii="Arial" w:hAnsi="Arial" w:cs="Arial"/>
          <w:b/>
          <w:i/>
          <w:sz w:val="20"/>
          <w:szCs w:val="20"/>
          <w:u w:val="single"/>
        </w:rPr>
        <w:t xml:space="preserve"> </w:t>
      </w:r>
      <w:proofErr w:type="gramStart"/>
      <w:r w:rsidRPr="006C6101">
        <w:rPr>
          <w:rFonts w:ascii="Arial" w:hAnsi="Arial" w:cs="Arial"/>
          <w:b/>
          <w:bCs/>
          <w:i/>
          <w:sz w:val="20"/>
          <w:szCs w:val="20"/>
          <w:u w:val="single"/>
        </w:rPr>
        <w:t>Adjudicación  sin</w:t>
      </w:r>
      <w:proofErr w:type="gramEnd"/>
      <w:r w:rsidRPr="006C6101">
        <w:rPr>
          <w:rFonts w:ascii="Arial" w:hAnsi="Arial" w:cs="Arial"/>
          <w:b/>
          <w:bCs/>
          <w:i/>
          <w:sz w:val="20"/>
          <w:szCs w:val="20"/>
          <w:u w:val="single"/>
        </w:rPr>
        <w:t xml:space="preserve"> elaboración de Contrato.</w:t>
      </w:r>
    </w:p>
    <w:p w:rsidR="00026D80" w:rsidRPr="006C6101" w:rsidRDefault="00026D80" w:rsidP="00026D80">
      <w:pPr>
        <w:jc w:val="both"/>
        <w:rPr>
          <w:rFonts w:ascii="Arial" w:hAnsi="Arial" w:cs="Arial"/>
          <w:sz w:val="20"/>
          <w:szCs w:val="20"/>
        </w:rPr>
      </w:pPr>
      <w:r w:rsidRPr="006C6101">
        <w:rPr>
          <w:rFonts w:ascii="Arial" w:hAnsi="Arial" w:cs="Arial"/>
          <w:sz w:val="20"/>
          <w:szCs w:val="20"/>
        </w:rPr>
        <w:t xml:space="preserve">En este punto </w:t>
      </w:r>
      <w:r w:rsidRPr="006C6101">
        <w:rPr>
          <w:rFonts w:ascii="Arial" w:hAnsi="Arial" w:cs="Arial"/>
          <w:b/>
          <w:sz w:val="20"/>
          <w:szCs w:val="20"/>
        </w:rPr>
        <w:t>3.10</w:t>
      </w:r>
      <w:r w:rsidRPr="006C6101">
        <w:rPr>
          <w:rFonts w:ascii="Arial" w:hAnsi="Arial" w:cs="Arial"/>
          <w:sz w:val="20"/>
          <w:szCs w:val="20"/>
        </w:rPr>
        <w:t xml:space="preserve"> manifestamos, que los arrendamientos de los predios rústicos, se trata de personas físicas, en la que su actividad preponderante no es la renta del predio para la instalación de un espectacular, sino más bien la agricultura, por consiguiente no emiten recibos fiscales porque no tienen actividad empresarial, siendo autorizado por el Comité Técnico el que se contrate con estas características, ya que se trata de una superficie en terreno ejidal, misma que es rentada por una cantidad muy atractiva y donde se puede realizar con mucha efectividad, la promoción de los destinos turísticos correspondientes de una manera económica y eficaz, no dejando a un lado la celebración del correspondiente contrato de arrendamiento, así como copia de la identificación, recibo firmado del importe pagado y foto de espectacular montado sobre la superficie correspondiente.</w:t>
      </w:r>
    </w:p>
    <w:p w:rsidR="00026D80" w:rsidRPr="006C6101" w:rsidRDefault="00026D80" w:rsidP="00026D80">
      <w:pPr>
        <w:jc w:val="both"/>
        <w:rPr>
          <w:rFonts w:ascii="Arial" w:hAnsi="Arial" w:cs="Arial"/>
          <w:sz w:val="20"/>
          <w:szCs w:val="20"/>
        </w:rPr>
      </w:pPr>
      <w:r w:rsidRPr="006C6101">
        <w:rPr>
          <w:rFonts w:ascii="Arial" w:hAnsi="Arial" w:cs="Arial"/>
          <w:sz w:val="20"/>
          <w:szCs w:val="20"/>
        </w:rPr>
        <w:t>Por lo anterior, no caemos en contingencia fiscal ni en el incumplimiento a los artículos correspondientes del Código Fiscal de la Federación y de la Ley de Presupuesto, Contabilidad y Gastos Público del Estado de Jalisco.</w:t>
      </w:r>
    </w:p>
    <w:p w:rsidR="00026D80" w:rsidRPr="006C6101" w:rsidRDefault="00026D80" w:rsidP="00026D80">
      <w:pPr>
        <w:jc w:val="both"/>
        <w:rPr>
          <w:rFonts w:ascii="Arial" w:hAnsi="Arial" w:cs="Arial"/>
          <w:sz w:val="20"/>
          <w:szCs w:val="20"/>
        </w:rPr>
      </w:pPr>
      <w:r w:rsidRPr="006C6101">
        <w:rPr>
          <w:rFonts w:ascii="Arial" w:hAnsi="Arial" w:cs="Arial"/>
          <w:b/>
          <w:sz w:val="20"/>
          <w:szCs w:val="20"/>
        </w:rPr>
        <w:t>En el 3.11</w:t>
      </w:r>
      <w:r w:rsidRPr="006C6101">
        <w:rPr>
          <w:rFonts w:ascii="Arial" w:hAnsi="Arial" w:cs="Arial"/>
          <w:sz w:val="20"/>
          <w:szCs w:val="20"/>
        </w:rPr>
        <w:t xml:space="preserve">, que se refiere a la adjudicación sin elaboración de contrato, adjunto a la presente se servirá encontrar Contrato de Obra Pública por Tiempo Determinado que celebra  entre  otras partes el Arquitecto Francisco Javier Jiménez Ramírez, “ El Contratista”, para llevar a cabo la fabricación e instalación de 3,200 placas o nomenclaturas para las calles de los municipios de: </w:t>
      </w:r>
    </w:p>
    <w:p w:rsidR="00026D80" w:rsidRPr="006C6101" w:rsidRDefault="00026D80" w:rsidP="00026D80">
      <w:pPr>
        <w:pStyle w:val="Prrafodelista"/>
        <w:numPr>
          <w:ilvl w:val="0"/>
          <w:numId w:val="6"/>
        </w:numPr>
        <w:jc w:val="both"/>
        <w:rPr>
          <w:rFonts w:ascii="Arial" w:hAnsi="Arial" w:cs="Arial"/>
          <w:sz w:val="20"/>
          <w:szCs w:val="20"/>
        </w:rPr>
      </w:pPr>
      <w:r w:rsidRPr="006C6101">
        <w:rPr>
          <w:rFonts w:ascii="Arial" w:hAnsi="Arial" w:cs="Arial"/>
          <w:sz w:val="20"/>
          <w:szCs w:val="20"/>
        </w:rPr>
        <w:t xml:space="preserve">Jamay </w:t>
      </w:r>
    </w:p>
    <w:p w:rsidR="00026D80" w:rsidRPr="006C6101" w:rsidRDefault="00026D80" w:rsidP="00026D80">
      <w:pPr>
        <w:pStyle w:val="Prrafodelista"/>
        <w:numPr>
          <w:ilvl w:val="0"/>
          <w:numId w:val="6"/>
        </w:numPr>
        <w:jc w:val="both"/>
        <w:rPr>
          <w:rFonts w:ascii="Arial" w:hAnsi="Arial" w:cs="Arial"/>
          <w:sz w:val="20"/>
          <w:szCs w:val="20"/>
        </w:rPr>
      </w:pPr>
      <w:r w:rsidRPr="006C6101">
        <w:rPr>
          <w:rFonts w:ascii="Arial" w:hAnsi="Arial" w:cs="Arial"/>
          <w:sz w:val="20"/>
          <w:szCs w:val="20"/>
        </w:rPr>
        <w:t>Ocotlán</w:t>
      </w:r>
    </w:p>
    <w:p w:rsidR="00026D80" w:rsidRPr="006C6101" w:rsidRDefault="00026D80" w:rsidP="00026D80">
      <w:pPr>
        <w:pStyle w:val="Prrafodelista"/>
        <w:numPr>
          <w:ilvl w:val="0"/>
          <w:numId w:val="6"/>
        </w:numPr>
        <w:jc w:val="both"/>
        <w:rPr>
          <w:rFonts w:ascii="Arial" w:hAnsi="Arial" w:cs="Arial"/>
          <w:sz w:val="20"/>
          <w:szCs w:val="20"/>
        </w:rPr>
      </w:pPr>
      <w:proofErr w:type="spellStart"/>
      <w:r w:rsidRPr="006C6101">
        <w:rPr>
          <w:rFonts w:ascii="Arial" w:hAnsi="Arial" w:cs="Arial"/>
          <w:sz w:val="20"/>
          <w:szCs w:val="20"/>
        </w:rPr>
        <w:t>Poncitlán</w:t>
      </w:r>
      <w:proofErr w:type="spellEnd"/>
    </w:p>
    <w:p w:rsidR="00026D80" w:rsidRPr="006C6101" w:rsidRDefault="00026D80" w:rsidP="00026D80">
      <w:pPr>
        <w:pStyle w:val="Prrafodelista"/>
        <w:numPr>
          <w:ilvl w:val="0"/>
          <w:numId w:val="6"/>
        </w:numPr>
        <w:jc w:val="both"/>
        <w:rPr>
          <w:rFonts w:ascii="Arial" w:hAnsi="Arial" w:cs="Arial"/>
          <w:sz w:val="20"/>
          <w:szCs w:val="20"/>
        </w:rPr>
      </w:pPr>
      <w:proofErr w:type="spellStart"/>
      <w:r w:rsidRPr="006C6101">
        <w:rPr>
          <w:rFonts w:ascii="Arial" w:hAnsi="Arial" w:cs="Arial"/>
          <w:sz w:val="20"/>
          <w:szCs w:val="20"/>
        </w:rPr>
        <w:t>Ixtlahuacán</w:t>
      </w:r>
      <w:proofErr w:type="spellEnd"/>
      <w:r w:rsidRPr="006C6101">
        <w:rPr>
          <w:rFonts w:ascii="Arial" w:hAnsi="Arial" w:cs="Arial"/>
          <w:sz w:val="20"/>
          <w:szCs w:val="20"/>
        </w:rPr>
        <w:t xml:space="preserve"> de los Membrillos</w:t>
      </w:r>
    </w:p>
    <w:p w:rsidR="006B5DE7" w:rsidRPr="006C6101" w:rsidRDefault="00026D80" w:rsidP="00026D80">
      <w:pPr>
        <w:jc w:val="both"/>
        <w:rPr>
          <w:rFonts w:ascii="Arial" w:hAnsi="Arial" w:cs="Arial"/>
          <w:sz w:val="20"/>
          <w:szCs w:val="20"/>
        </w:rPr>
      </w:pPr>
      <w:r w:rsidRPr="006C6101">
        <w:rPr>
          <w:rFonts w:ascii="Arial" w:hAnsi="Arial" w:cs="Arial"/>
          <w:sz w:val="20"/>
          <w:szCs w:val="20"/>
        </w:rPr>
        <w:t>Los anteriores Municipios, todos ubicados en el Estado de Jalisco, dentro de la zona de la Ribera de Chapala.</w:t>
      </w:r>
    </w:p>
    <w:p w:rsidR="00026D80" w:rsidRPr="006C6101" w:rsidRDefault="00026D80" w:rsidP="00026D80">
      <w:pPr>
        <w:jc w:val="both"/>
        <w:rPr>
          <w:rFonts w:ascii="Arial" w:hAnsi="Arial" w:cs="Arial"/>
          <w:sz w:val="20"/>
          <w:szCs w:val="20"/>
        </w:rPr>
      </w:pPr>
      <w:r w:rsidRPr="006C6101">
        <w:rPr>
          <w:rFonts w:ascii="Arial" w:hAnsi="Arial" w:cs="Arial"/>
          <w:sz w:val="20"/>
          <w:szCs w:val="20"/>
        </w:rPr>
        <w:t>Por lo anterior, el Fideicomiso de los Municipios del Interior del Estado de Jalisco, NO corre absolutamente ningún peligro, en caso de controversia por algún incumplimiento con el proveedor  ( estado de indefensión ) y por último NO se incumple a lo establecido en el artículo 17 del Reglamento de la Ley de Adquisiciones y Enajenaciones del Gobierno del Estado de Jalisco y Capítulo I, punto 3, inciso G), del Reglamento de Adquisiciones y Enajenaciones del Fideicomiso  de Turismo de los Municipios del Interior del Estado de Jalisco, en virtud que se cuenta con el contrato correspondiente.</w:t>
      </w:r>
    </w:p>
    <w:p w:rsidR="006B5DE7" w:rsidRPr="006C6101" w:rsidRDefault="00026D80" w:rsidP="0029013B">
      <w:pPr>
        <w:jc w:val="both"/>
        <w:rPr>
          <w:rFonts w:ascii="Arial" w:hAnsi="Arial" w:cs="Arial"/>
          <w:sz w:val="20"/>
          <w:szCs w:val="20"/>
        </w:rPr>
      </w:pPr>
      <w:r w:rsidRPr="006C6101">
        <w:rPr>
          <w:rFonts w:ascii="Arial" w:hAnsi="Arial" w:cs="Arial"/>
          <w:sz w:val="20"/>
          <w:szCs w:val="20"/>
        </w:rPr>
        <w:t xml:space="preserve">Por lo que respecta a los 2 puntos anteriores, solicitamos la Solventación.  </w:t>
      </w:r>
    </w:p>
    <w:p w:rsidR="0029013B" w:rsidRPr="006C6101" w:rsidRDefault="00026D80" w:rsidP="0029013B">
      <w:pPr>
        <w:jc w:val="both"/>
        <w:rPr>
          <w:rFonts w:ascii="Arial" w:hAnsi="Arial" w:cs="Arial"/>
          <w:b/>
          <w:sz w:val="20"/>
          <w:szCs w:val="20"/>
        </w:rPr>
      </w:pPr>
      <w:r w:rsidRPr="006C6101">
        <w:rPr>
          <w:rFonts w:ascii="Arial" w:hAnsi="Arial" w:cs="Arial"/>
          <w:b/>
          <w:sz w:val="20"/>
          <w:szCs w:val="20"/>
        </w:rPr>
        <w:t>3.11</w:t>
      </w:r>
      <w:r w:rsidR="007D29E4" w:rsidRPr="006C6101">
        <w:rPr>
          <w:rFonts w:ascii="Arial" w:hAnsi="Arial" w:cs="Arial"/>
          <w:b/>
          <w:sz w:val="20"/>
          <w:szCs w:val="20"/>
        </w:rPr>
        <w:t>.-</w:t>
      </w:r>
      <w:r w:rsidRPr="006C6101">
        <w:rPr>
          <w:rFonts w:ascii="Arial" w:hAnsi="Arial" w:cs="Arial"/>
          <w:b/>
          <w:sz w:val="20"/>
          <w:szCs w:val="20"/>
        </w:rPr>
        <w:t xml:space="preserve"> solventada.</w:t>
      </w:r>
      <w:bookmarkStart w:id="0" w:name="_GoBack"/>
      <w:bookmarkEnd w:id="0"/>
    </w:p>
    <w:sectPr w:rsidR="0029013B" w:rsidRPr="006C6101" w:rsidSect="0065218D">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587"/>
    <w:multiLevelType w:val="multilevel"/>
    <w:tmpl w:val="9BF4584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45781"/>
    <w:multiLevelType w:val="hybridMultilevel"/>
    <w:tmpl w:val="7D0A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B1BE8"/>
    <w:multiLevelType w:val="hybridMultilevel"/>
    <w:tmpl w:val="4A983168"/>
    <w:lvl w:ilvl="0" w:tplc="488694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344A84"/>
    <w:multiLevelType w:val="multilevel"/>
    <w:tmpl w:val="EDC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BA"/>
    <w:rsid w:val="00026D80"/>
    <w:rsid w:val="00051F4B"/>
    <w:rsid w:val="0008029C"/>
    <w:rsid w:val="001900F0"/>
    <w:rsid w:val="00214231"/>
    <w:rsid w:val="0026313A"/>
    <w:rsid w:val="0029013B"/>
    <w:rsid w:val="002C5E16"/>
    <w:rsid w:val="002D6395"/>
    <w:rsid w:val="00301397"/>
    <w:rsid w:val="004911C4"/>
    <w:rsid w:val="0052261B"/>
    <w:rsid w:val="005916A7"/>
    <w:rsid w:val="0065218D"/>
    <w:rsid w:val="006B5DE7"/>
    <w:rsid w:val="006C6101"/>
    <w:rsid w:val="00771737"/>
    <w:rsid w:val="007B7C96"/>
    <w:rsid w:val="007D29E4"/>
    <w:rsid w:val="007E3FF2"/>
    <w:rsid w:val="009119BA"/>
    <w:rsid w:val="009860CE"/>
    <w:rsid w:val="009B6587"/>
    <w:rsid w:val="00A32AE6"/>
    <w:rsid w:val="00A70B08"/>
    <w:rsid w:val="00B16F32"/>
    <w:rsid w:val="00B210FA"/>
    <w:rsid w:val="00BF59AF"/>
    <w:rsid w:val="00CD55A9"/>
    <w:rsid w:val="00D66841"/>
    <w:rsid w:val="00DC5D8F"/>
    <w:rsid w:val="00E44C5C"/>
    <w:rsid w:val="00F50580"/>
    <w:rsid w:val="00F544A0"/>
    <w:rsid w:val="00FD17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CE5B6-EE49-4CFD-A38F-3542990C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CD55A9"/>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customStyle="1" w:styleId="Ttulo3Car">
    <w:name w:val="Título 3 Car"/>
    <w:basedOn w:val="Fuentedeprrafopredeter"/>
    <w:link w:val="Ttulo3"/>
    <w:uiPriority w:val="99"/>
    <w:rsid w:val="00CD55A9"/>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7E3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Angelica Jimenez</cp:lastModifiedBy>
  <cp:revision>2</cp:revision>
  <dcterms:created xsi:type="dcterms:W3CDTF">2018-07-10T17:23:00Z</dcterms:created>
  <dcterms:modified xsi:type="dcterms:W3CDTF">2018-07-10T17:23:00Z</dcterms:modified>
</cp:coreProperties>
</file>