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8"/>
      </w:tblGrid>
      <w:tr w:rsidR="00B90086" w:rsidRPr="0095167F" w:rsidTr="000D6F12">
        <w:tblPrEx>
          <w:tblCellMar>
            <w:top w:w="0" w:type="dxa"/>
            <w:bottom w:w="0" w:type="dxa"/>
          </w:tblCellMar>
        </w:tblPrEx>
        <w:trPr>
          <w:cantSplit/>
        </w:trPr>
        <w:tc>
          <w:tcPr>
            <w:tcW w:w="10348" w:type="dxa"/>
            <w:tcBorders>
              <w:top w:val="single" w:sz="4" w:space="0" w:color="auto"/>
              <w:bottom w:val="single" w:sz="4" w:space="0" w:color="auto"/>
              <w:right w:val="single" w:sz="4" w:space="0" w:color="auto"/>
            </w:tcBorders>
            <w:shd w:val="clear" w:color="auto" w:fill="33CCCC"/>
          </w:tcPr>
          <w:p w:rsidR="00B90086" w:rsidRPr="0095167F" w:rsidRDefault="00B90086" w:rsidP="000D6F12">
            <w:pPr>
              <w:jc w:val="center"/>
              <w:rPr>
                <w:rFonts w:ascii="Frutiger-Light" w:hAnsi="Frutiger-Light" w:cs="Arial"/>
                <w:b/>
              </w:rPr>
            </w:pPr>
            <w:r w:rsidRPr="0095167F">
              <w:rPr>
                <w:rFonts w:ascii="Frutiger-Light" w:hAnsi="Frutiger-Light" w:cs="Arial"/>
                <w:b/>
              </w:rPr>
              <w:t>CONTESTACI</w:t>
            </w:r>
            <w:r w:rsidRPr="0095167F">
              <w:rPr>
                <w:rFonts w:ascii="Arial" w:hAnsi="Arial" w:cs="Arial"/>
                <w:b/>
              </w:rPr>
              <w:t>Ó</w:t>
            </w:r>
            <w:r w:rsidRPr="0095167F">
              <w:rPr>
                <w:rFonts w:ascii="Frutiger-Light" w:hAnsi="Frutiger-Light" w:cs="Arial"/>
                <w:b/>
              </w:rPr>
              <w:t>N</w:t>
            </w:r>
          </w:p>
        </w:tc>
      </w:tr>
      <w:tr w:rsidR="00B90086" w:rsidRPr="00F84222" w:rsidTr="00B90086">
        <w:tblPrEx>
          <w:tblCellMar>
            <w:top w:w="0" w:type="dxa"/>
            <w:bottom w:w="0" w:type="dxa"/>
          </w:tblCellMar>
        </w:tblPrEx>
        <w:trPr>
          <w:cantSplit/>
        </w:trPr>
        <w:tc>
          <w:tcPr>
            <w:tcW w:w="10348" w:type="dxa"/>
            <w:tcBorders>
              <w:top w:val="nil"/>
              <w:bottom w:val="single" w:sz="4" w:space="0" w:color="auto"/>
              <w:right w:val="single" w:sz="4" w:space="0" w:color="auto"/>
            </w:tcBorders>
            <w:vAlign w:val="center"/>
          </w:tcPr>
          <w:p w:rsidR="00B90086" w:rsidRDefault="00B90086" w:rsidP="000D6F12">
            <w:pPr>
              <w:jc w:val="both"/>
              <w:rPr>
                <w:rFonts w:ascii="Frutiger-Light" w:hAnsi="Frutiger-Light"/>
                <w:bCs/>
                <w:sz w:val="18"/>
                <w:szCs w:val="18"/>
              </w:rPr>
            </w:pPr>
          </w:p>
          <w:tbl>
            <w:tblPr>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3"/>
              <w:gridCol w:w="7938"/>
            </w:tblGrid>
            <w:tr w:rsidR="00B90086" w:rsidRPr="00595043" w:rsidTr="000D6F12">
              <w:tc>
                <w:tcPr>
                  <w:tcW w:w="2193" w:type="dxa"/>
                </w:tcPr>
                <w:p w:rsidR="00B90086" w:rsidRPr="00F13442" w:rsidRDefault="00B90086" w:rsidP="000D6F12">
                  <w:pPr>
                    <w:rPr>
                      <w:rFonts w:ascii="Frutiger-Light" w:hAnsi="Frutiger-Light" w:cs="Arial"/>
                      <w:b/>
                      <w:sz w:val="17"/>
                      <w:szCs w:val="17"/>
                      <w:lang w:val="es-MX"/>
                    </w:rPr>
                  </w:pPr>
                  <w:proofErr w:type="spellStart"/>
                  <w:r w:rsidRPr="00F13442">
                    <w:rPr>
                      <w:rFonts w:ascii="Frutiger-Light" w:hAnsi="Frutiger-Light" w:cs="Arial"/>
                      <w:b/>
                      <w:sz w:val="17"/>
                      <w:szCs w:val="17"/>
                      <w:lang w:val="es-MX"/>
                    </w:rPr>
                    <w:t>Guayco</w:t>
                  </w:r>
                  <w:proofErr w:type="spellEnd"/>
                  <w:r w:rsidRPr="00F13442">
                    <w:rPr>
                      <w:rFonts w:ascii="Frutiger-Light" w:hAnsi="Frutiger-Light" w:cs="Arial"/>
                      <w:b/>
                      <w:sz w:val="17"/>
                      <w:szCs w:val="17"/>
                      <w:lang w:val="es-MX"/>
                    </w:rPr>
                    <w:t xml:space="preserve"> SA  de CV</w:t>
                  </w:r>
                </w:p>
              </w:tc>
              <w:tc>
                <w:tcPr>
                  <w:tcW w:w="7938" w:type="dxa"/>
                </w:tcPr>
                <w:p w:rsidR="00B90086" w:rsidRPr="00F13442" w:rsidRDefault="00B90086" w:rsidP="000D6F12">
                  <w:pPr>
                    <w:jc w:val="both"/>
                    <w:rPr>
                      <w:rFonts w:ascii="Frutiger-Light" w:hAnsi="Frutiger-Light"/>
                      <w:sz w:val="17"/>
                      <w:szCs w:val="17"/>
                    </w:rPr>
                  </w:pPr>
                  <w:r w:rsidRPr="00F13442">
                    <w:rPr>
                      <w:rFonts w:ascii="Frutiger-Light" w:hAnsi="Frutiger-Light"/>
                      <w:sz w:val="17"/>
                      <w:szCs w:val="17"/>
                    </w:rPr>
                    <w:t xml:space="preserve">Respecto al Proveedor </w:t>
                  </w:r>
                  <w:r w:rsidRPr="00F13442">
                    <w:rPr>
                      <w:rFonts w:ascii="Frutiger-Light" w:hAnsi="Frutiger-Light"/>
                      <w:b/>
                      <w:sz w:val="17"/>
                      <w:szCs w:val="17"/>
                    </w:rPr>
                    <w:t>GUAYCO SA DE CV</w:t>
                  </w:r>
                  <w:r w:rsidRPr="00F13442">
                    <w:rPr>
                      <w:rFonts w:ascii="Frutiger-Light" w:hAnsi="Frutiger-Light"/>
                      <w:sz w:val="17"/>
                      <w:szCs w:val="17"/>
                    </w:rPr>
                    <w:t>, ya se le indico que el saldo que tiene a favor de este Comité por la cantidad de $ 181,035.22 pesos, está sujeto a un Juicio Civil Ordinario, tramitado ante el Juzgado Decimo Tercero de lo Civil de este Partido Judicial, el cual resulto favorable, y con fecha 16 de Junio del presente año, se solicito al Juez de conocimiento, conceder al demandado un término improrrogable de cinco días hábiles para cumplir voluntariamente con la condena que se le impuso en cuanto a pagar el importe por Usted observado. Se acompaña copia del escrito de cuenta.</w:t>
                  </w:r>
                </w:p>
              </w:tc>
            </w:tr>
            <w:tr w:rsidR="00B90086" w:rsidRPr="00595043" w:rsidTr="000D6F12">
              <w:tc>
                <w:tcPr>
                  <w:tcW w:w="2193" w:type="dxa"/>
                </w:tcPr>
                <w:p w:rsidR="00B90086" w:rsidRPr="00F13442" w:rsidRDefault="00B90086" w:rsidP="000D6F12">
                  <w:pPr>
                    <w:rPr>
                      <w:rFonts w:ascii="Frutiger-Light" w:hAnsi="Frutiger-Light" w:cs="Arial"/>
                      <w:b/>
                      <w:sz w:val="17"/>
                      <w:szCs w:val="17"/>
                      <w:lang w:val="es-MX"/>
                    </w:rPr>
                  </w:pPr>
                  <w:r w:rsidRPr="00F13442">
                    <w:rPr>
                      <w:rFonts w:ascii="Frutiger-Light" w:hAnsi="Frutiger-Light" w:cs="Arial"/>
                      <w:b/>
                      <w:sz w:val="17"/>
                      <w:szCs w:val="17"/>
                      <w:lang w:val="es-MX"/>
                    </w:rPr>
                    <w:t>B.C. Mexicana SA CV</w:t>
                  </w:r>
                </w:p>
              </w:tc>
              <w:tc>
                <w:tcPr>
                  <w:tcW w:w="7938" w:type="dxa"/>
                </w:tcPr>
                <w:p w:rsidR="00B90086" w:rsidRPr="00F13442" w:rsidRDefault="00B90086" w:rsidP="000D6F12">
                  <w:pPr>
                    <w:jc w:val="both"/>
                    <w:rPr>
                      <w:rFonts w:ascii="Frutiger-Light" w:hAnsi="Frutiger-Light"/>
                      <w:sz w:val="17"/>
                      <w:szCs w:val="17"/>
                    </w:rPr>
                  </w:pPr>
                  <w:r w:rsidRPr="00F13442">
                    <w:rPr>
                      <w:rFonts w:ascii="Frutiger-Light" w:hAnsi="Frutiger-Light"/>
                      <w:sz w:val="17"/>
                      <w:szCs w:val="17"/>
                    </w:rPr>
                    <w:t xml:space="preserve">Por lo que se refiere al Proveedor </w:t>
                  </w:r>
                  <w:r w:rsidRPr="00F13442">
                    <w:rPr>
                      <w:rFonts w:ascii="Frutiger-Light" w:hAnsi="Frutiger-Light"/>
                      <w:b/>
                      <w:sz w:val="17"/>
                      <w:szCs w:val="17"/>
                    </w:rPr>
                    <w:t>BC MEXICANA SA DE CV</w:t>
                  </w:r>
                  <w:r w:rsidRPr="00F13442">
                    <w:rPr>
                      <w:rFonts w:ascii="Frutiger-Light" w:hAnsi="Frutiger-Light"/>
                      <w:sz w:val="17"/>
                      <w:szCs w:val="17"/>
                    </w:rPr>
                    <w:t xml:space="preserve"> el importe por Usted Observado, deriva del incumplimiento a los contratos números </w:t>
                  </w:r>
                  <w:r w:rsidRPr="00F13442">
                    <w:rPr>
                      <w:rFonts w:ascii="Frutiger-Light" w:hAnsi="Frutiger-Light"/>
                      <w:b/>
                      <w:sz w:val="17"/>
                      <w:szCs w:val="17"/>
                    </w:rPr>
                    <w:t>14-ADQ-217/2000 y 14-ADQ-222/2002</w:t>
                  </w:r>
                  <w:r w:rsidRPr="00F13442">
                    <w:rPr>
                      <w:rFonts w:ascii="Frutiger-Light" w:hAnsi="Frutiger-Light"/>
                      <w:sz w:val="17"/>
                      <w:szCs w:val="17"/>
                    </w:rPr>
                    <w:t>, por tanto, se iniciaron procedimientos Administrativos de recisión que no fue posible su notificación, en virtud de que el Proveedor no fue localizado en el domicilio que tiene registrado ante este Comité, por consiguiente, se giraron Oficios al Instituto Federal Electoral, al IMSS, Instituto de Seguridad Social al Servicio de los Trabajadores entre otros, para el efecto de que informen a este descentralizado el posible paradero de dicho Proveedor, para estar en condiciones de requerirlo por el pago que adeuda a este Comité. Se acompañan copias de los Oficios en mención.</w:t>
                  </w:r>
                </w:p>
              </w:tc>
            </w:tr>
            <w:tr w:rsidR="00B90086" w:rsidRPr="00595043" w:rsidTr="000D6F12">
              <w:tc>
                <w:tcPr>
                  <w:tcW w:w="2193" w:type="dxa"/>
                </w:tcPr>
                <w:p w:rsidR="00B90086" w:rsidRPr="00F13442" w:rsidRDefault="00B90086" w:rsidP="000D6F12">
                  <w:pPr>
                    <w:jc w:val="both"/>
                    <w:rPr>
                      <w:rFonts w:ascii="Frutiger-Light" w:hAnsi="Frutiger-Light" w:cs="Arial"/>
                      <w:b/>
                      <w:bCs/>
                      <w:sz w:val="17"/>
                      <w:szCs w:val="17"/>
                      <w:lang w:val="es-MX"/>
                    </w:rPr>
                  </w:pPr>
                  <w:r w:rsidRPr="00F13442">
                    <w:rPr>
                      <w:rFonts w:ascii="Frutiger-Light" w:hAnsi="Frutiger-Light" w:cs="Arial"/>
                      <w:b/>
                      <w:bCs/>
                      <w:sz w:val="17"/>
                      <w:szCs w:val="17"/>
                      <w:lang w:val="es-MX"/>
                    </w:rPr>
                    <w:t xml:space="preserve">Antonio Sergio Gutiérrez </w:t>
                  </w:r>
                  <w:proofErr w:type="spellStart"/>
                  <w:r w:rsidRPr="00F13442">
                    <w:rPr>
                      <w:rFonts w:ascii="Frutiger-Light" w:hAnsi="Frutiger-Light" w:cs="Arial"/>
                      <w:b/>
                      <w:bCs/>
                      <w:sz w:val="17"/>
                      <w:szCs w:val="17"/>
                      <w:lang w:val="es-MX"/>
                    </w:rPr>
                    <w:t>Olaiz</w:t>
                  </w:r>
                  <w:proofErr w:type="spellEnd"/>
                </w:p>
              </w:tc>
              <w:tc>
                <w:tcPr>
                  <w:tcW w:w="7938" w:type="dxa"/>
                </w:tcPr>
                <w:p w:rsidR="00B90086" w:rsidRPr="00F13442" w:rsidRDefault="00B90086" w:rsidP="000D6F12">
                  <w:pPr>
                    <w:jc w:val="both"/>
                    <w:rPr>
                      <w:rFonts w:ascii="Frutiger-Light" w:hAnsi="Frutiger-Light"/>
                      <w:sz w:val="17"/>
                      <w:szCs w:val="17"/>
                    </w:rPr>
                  </w:pPr>
                  <w:r w:rsidRPr="00F13442">
                    <w:rPr>
                      <w:rFonts w:ascii="Frutiger-Light" w:hAnsi="Frutiger-Light"/>
                      <w:sz w:val="17"/>
                      <w:szCs w:val="17"/>
                    </w:rPr>
                    <w:t xml:space="preserve">Por lo que se ve al Proveedor </w:t>
                  </w:r>
                  <w:r w:rsidRPr="00F13442">
                    <w:rPr>
                      <w:rFonts w:ascii="Frutiger-Light" w:hAnsi="Frutiger-Light" w:cs="Arial"/>
                      <w:b/>
                      <w:bCs/>
                      <w:sz w:val="17"/>
                      <w:szCs w:val="17"/>
                      <w:lang w:val="es-MX"/>
                    </w:rPr>
                    <w:t xml:space="preserve">Antonio Sergio Gutiérrez </w:t>
                  </w:r>
                  <w:proofErr w:type="spellStart"/>
                  <w:r w:rsidRPr="00F13442">
                    <w:rPr>
                      <w:rFonts w:ascii="Frutiger-Light" w:hAnsi="Frutiger-Light" w:cs="Arial"/>
                      <w:b/>
                      <w:bCs/>
                      <w:sz w:val="17"/>
                      <w:szCs w:val="17"/>
                      <w:lang w:val="es-MX"/>
                    </w:rPr>
                    <w:t>Olaiz</w:t>
                  </w:r>
                  <w:proofErr w:type="spellEnd"/>
                  <w:r w:rsidRPr="00F13442">
                    <w:rPr>
                      <w:rFonts w:ascii="Frutiger-Light" w:hAnsi="Frutiger-Light"/>
                      <w:sz w:val="17"/>
                      <w:szCs w:val="17"/>
                    </w:rPr>
                    <w:t xml:space="preserve"> el monto por Usted Observado, deriva del anticipo no amortizado respecto a los contratos </w:t>
                  </w:r>
                  <w:r w:rsidRPr="00F13442">
                    <w:rPr>
                      <w:rFonts w:ascii="Frutiger-Light" w:hAnsi="Frutiger-Light"/>
                      <w:b/>
                      <w:sz w:val="17"/>
                      <w:szCs w:val="17"/>
                    </w:rPr>
                    <w:t>14-ADQ-028/2009 y 14-ADQ-0283/2009</w:t>
                  </w:r>
                  <w:r w:rsidRPr="00F13442">
                    <w:rPr>
                      <w:rFonts w:ascii="Frutiger-Light" w:hAnsi="Frutiger-Light"/>
                      <w:sz w:val="17"/>
                      <w:szCs w:val="17"/>
                    </w:rPr>
                    <w:t>, por ello, se tiene en trámite procedimientos de recisión respecto de dichos contratos, que no ha sido posible su notificación, en virtud de que dicho Proveedor no ha sido localizado en el domicilio que tiene registrado ante este Comité, por consiguiente, se giraron Oficios al Instituto Federal Electoral, al IMSS, Instituto de Seguridad Social al Servicio de los Trabajadores entre otros, para el efecto de que informen a este descentralizado el posible paradero de dicho Proveedor, para estar en condiciones de requerirlo por el pago que adeuda a este Comité. Se acompañan copias de los Oficios en mención.</w:t>
                  </w:r>
                </w:p>
              </w:tc>
            </w:tr>
            <w:tr w:rsidR="00B90086" w:rsidRPr="00595043" w:rsidTr="000D6F12">
              <w:tc>
                <w:tcPr>
                  <w:tcW w:w="2193" w:type="dxa"/>
                </w:tcPr>
                <w:p w:rsidR="00B90086" w:rsidRPr="00F13442" w:rsidRDefault="00B90086" w:rsidP="000D6F12">
                  <w:pPr>
                    <w:jc w:val="both"/>
                    <w:rPr>
                      <w:rFonts w:ascii="Frutiger-Light" w:hAnsi="Frutiger-Light" w:cs="Arial"/>
                      <w:b/>
                      <w:bCs/>
                      <w:sz w:val="17"/>
                      <w:szCs w:val="17"/>
                      <w:lang w:val="es-MX"/>
                    </w:rPr>
                  </w:pPr>
                  <w:r w:rsidRPr="00F13442">
                    <w:rPr>
                      <w:rFonts w:ascii="Frutiger-Light" w:hAnsi="Frutiger-Light" w:cs="Arial"/>
                      <w:b/>
                      <w:bCs/>
                      <w:sz w:val="17"/>
                      <w:szCs w:val="17"/>
                      <w:lang w:val="es-MX"/>
                    </w:rPr>
                    <w:t xml:space="preserve">Grupo Industrial </w:t>
                  </w:r>
                  <w:proofErr w:type="spellStart"/>
                  <w:r w:rsidRPr="00F13442">
                    <w:rPr>
                      <w:rFonts w:ascii="Frutiger-Light" w:hAnsi="Frutiger-Light" w:cs="Arial"/>
                      <w:b/>
                      <w:bCs/>
                      <w:sz w:val="17"/>
                      <w:szCs w:val="17"/>
                      <w:lang w:val="es-MX"/>
                    </w:rPr>
                    <w:t>Forte</w:t>
                  </w:r>
                  <w:proofErr w:type="spellEnd"/>
                  <w:r w:rsidRPr="00F13442">
                    <w:rPr>
                      <w:rFonts w:ascii="Frutiger-Light" w:hAnsi="Frutiger-Light" w:cs="Arial"/>
                      <w:b/>
                      <w:bCs/>
                      <w:sz w:val="17"/>
                      <w:szCs w:val="17"/>
                      <w:lang w:val="es-MX"/>
                    </w:rPr>
                    <w:t xml:space="preserve"> SA  CV</w:t>
                  </w:r>
                </w:p>
              </w:tc>
              <w:tc>
                <w:tcPr>
                  <w:tcW w:w="7938" w:type="dxa"/>
                </w:tcPr>
                <w:p w:rsidR="00B90086" w:rsidRPr="00F13442" w:rsidRDefault="00B90086" w:rsidP="000D6F12">
                  <w:pPr>
                    <w:jc w:val="both"/>
                    <w:rPr>
                      <w:rFonts w:ascii="Frutiger-Light" w:hAnsi="Frutiger-Light"/>
                      <w:sz w:val="17"/>
                      <w:szCs w:val="17"/>
                    </w:rPr>
                  </w:pPr>
                  <w:r w:rsidRPr="00F13442">
                    <w:rPr>
                      <w:rFonts w:ascii="Frutiger-Light" w:hAnsi="Frutiger-Light"/>
                      <w:sz w:val="17"/>
                      <w:szCs w:val="17"/>
                    </w:rPr>
                    <w:t xml:space="preserve">Se acompaña copia del recibo número </w:t>
                  </w:r>
                  <w:r w:rsidRPr="00F13442">
                    <w:rPr>
                      <w:rFonts w:ascii="Frutiger-Light" w:hAnsi="Frutiger-Light"/>
                      <w:b/>
                      <w:sz w:val="17"/>
                      <w:szCs w:val="17"/>
                    </w:rPr>
                    <w:t>24445</w:t>
                  </w:r>
                  <w:r w:rsidRPr="00F13442">
                    <w:rPr>
                      <w:rFonts w:ascii="Frutiger-Light" w:hAnsi="Frutiger-Light"/>
                      <w:sz w:val="17"/>
                      <w:szCs w:val="17"/>
                    </w:rPr>
                    <w:t xml:space="preserve"> con el que se acredita el pago por la cantidad de </w:t>
                  </w:r>
                  <w:r w:rsidRPr="00F13442">
                    <w:rPr>
                      <w:rFonts w:ascii="Frutiger-Light" w:hAnsi="Frutiger-Light"/>
                      <w:b/>
                      <w:sz w:val="17"/>
                      <w:szCs w:val="17"/>
                    </w:rPr>
                    <w:t>$148.08</w:t>
                  </w:r>
                  <w:r w:rsidRPr="00F13442">
                    <w:rPr>
                      <w:rFonts w:ascii="Frutiger-Light" w:hAnsi="Frutiger-Light"/>
                      <w:sz w:val="17"/>
                      <w:szCs w:val="17"/>
                    </w:rPr>
                    <w:t xml:space="preserve"> pesos, por concepto de anticipo total, respecto del contrato numero </w:t>
                  </w:r>
                  <w:r w:rsidRPr="00F13442">
                    <w:rPr>
                      <w:rFonts w:ascii="Frutiger-Light" w:hAnsi="Frutiger-Light"/>
                      <w:b/>
                      <w:sz w:val="17"/>
                      <w:szCs w:val="17"/>
                    </w:rPr>
                    <w:t>14-ADQ-0198/2004</w:t>
                  </w:r>
                  <w:r w:rsidRPr="00F13442">
                    <w:rPr>
                      <w:rFonts w:ascii="Frutiger-Light" w:hAnsi="Frutiger-Light"/>
                      <w:sz w:val="17"/>
                      <w:szCs w:val="17"/>
                    </w:rPr>
                    <w:t xml:space="preserve"> en relación al Proveedor </w:t>
                  </w:r>
                  <w:r w:rsidRPr="00F13442">
                    <w:rPr>
                      <w:rFonts w:ascii="Frutiger-Light" w:hAnsi="Frutiger-Light" w:cs="Arial"/>
                      <w:b/>
                      <w:bCs/>
                      <w:sz w:val="17"/>
                      <w:szCs w:val="17"/>
                      <w:lang w:val="es-MX"/>
                    </w:rPr>
                    <w:t xml:space="preserve">Grupo Industrial </w:t>
                  </w:r>
                  <w:proofErr w:type="spellStart"/>
                  <w:r w:rsidRPr="00F13442">
                    <w:rPr>
                      <w:rFonts w:ascii="Frutiger-Light" w:hAnsi="Frutiger-Light" w:cs="Arial"/>
                      <w:b/>
                      <w:bCs/>
                      <w:sz w:val="17"/>
                      <w:szCs w:val="17"/>
                      <w:lang w:val="es-MX"/>
                    </w:rPr>
                    <w:t>Forte</w:t>
                  </w:r>
                  <w:proofErr w:type="spellEnd"/>
                  <w:r w:rsidRPr="00F13442">
                    <w:rPr>
                      <w:rFonts w:ascii="Frutiger-Light" w:hAnsi="Frutiger-Light" w:cs="Arial"/>
                      <w:b/>
                      <w:bCs/>
                      <w:sz w:val="17"/>
                      <w:szCs w:val="17"/>
                      <w:lang w:val="es-MX"/>
                    </w:rPr>
                    <w:t xml:space="preserve"> SA  CV</w:t>
                  </w:r>
                  <w:r w:rsidRPr="00F13442">
                    <w:rPr>
                      <w:rFonts w:ascii="Frutiger-Light" w:hAnsi="Frutiger-Light"/>
                      <w:sz w:val="17"/>
                      <w:szCs w:val="17"/>
                    </w:rPr>
                    <w:t xml:space="preserve"> .</w:t>
                  </w:r>
                </w:p>
              </w:tc>
            </w:tr>
            <w:tr w:rsidR="00B90086" w:rsidRPr="00595043" w:rsidTr="00B90086">
              <w:trPr>
                <w:trHeight w:val="1826"/>
              </w:trPr>
              <w:tc>
                <w:tcPr>
                  <w:tcW w:w="2193" w:type="dxa"/>
                  <w:tcBorders>
                    <w:bottom w:val="single" w:sz="4" w:space="0" w:color="auto"/>
                  </w:tcBorders>
                </w:tcPr>
                <w:p w:rsidR="00B90086" w:rsidRPr="00F13442" w:rsidRDefault="00B90086" w:rsidP="000D6F12">
                  <w:pPr>
                    <w:jc w:val="both"/>
                    <w:rPr>
                      <w:rFonts w:ascii="Frutiger-Light" w:hAnsi="Frutiger-Light" w:cs="Arial"/>
                      <w:b/>
                      <w:bCs/>
                      <w:sz w:val="17"/>
                      <w:szCs w:val="17"/>
                      <w:lang w:val="es-MX"/>
                    </w:rPr>
                  </w:pPr>
                  <w:r w:rsidRPr="00F13442">
                    <w:rPr>
                      <w:rFonts w:ascii="Frutiger-Light" w:hAnsi="Frutiger-Light" w:cs="Arial"/>
                      <w:b/>
                      <w:bCs/>
                      <w:sz w:val="17"/>
                      <w:szCs w:val="17"/>
                      <w:lang w:val="es-MX"/>
                    </w:rPr>
                    <w:t>Berenice Macías Gómez</w:t>
                  </w:r>
                </w:p>
              </w:tc>
              <w:tc>
                <w:tcPr>
                  <w:tcW w:w="7938" w:type="dxa"/>
                </w:tcPr>
                <w:p w:rsidR="00B90086" w:rsidRPr="00F13442" w:rsidRDefault="00B90086" w:rsidP="000D6F12">
                  <w:pPr>
                    <w:jc w:val="both"/>
                    <w:rPr>
                      <w:rFonts w:ascii="Frutiger-Light" w:hAnsi="Frutiger-Light"/>
                      <w:sz w:val="17"/>
                      <w:szCs w:val="17"/>
                    </w:rPr>
                  </w:pPr>
                  <w:r w:rsidRPr="00F13442">
                    <w:rPr>
                      <w:rFonts w:ascii="Frutiger-Light" w:hAnsi="Frutiger-Light"/>
                      <w:sz w:val="17"/>
                      <w:szCs w:val="17"/>
                    </w:rPr>
                    <w:t xml:space="preserve">En relación al Proveedor </w:t>
                  </w:r>
                  <w:r w:rsidRPr="00F13442">
                    <w:rPr>
                      <w:rFonts w:ascii="Frutiger-Light" w:hAnsi="Frutiger-Light" w:cs="Arial"/>
                      <w:b/>
                      <w:bCs/>
                      <w:sz w:val="17"/>
                      <w:szCs w:val="17"/>
                      <w:lang w:val="es-MX"/>
                    </w:rPr>
                    <w:t>Berenice Macías Gómez</w:t>
                  </w:r>
                  <w:r w:rsidRPr="00F13442">
                    <w:rPr>
                      <w:rFonts w:ascii="Frutiger-Light" w:hAnsi="Frutiger-Light"/>
                      <w:sz w:val="17"/>
                      <w:szCs w:val="17"/>
                    </w:rPr>
                    <w:t xml:space="preserve">, con fecha 26 de mayo de </w:t>
                  </w:r>
                  <w:r w:rsidRPr="00F13442">
                    <w:rPr>
                      <w:rFonts w:ascii="Frutiger-Light" w:hAnsi="Frutiger-Light"/>
                      <w:b/>
                      <w:sz w:val="17"/>
                      <w:szCs w:val="17"/>
                    </w:rPr>
                    <w:t>2003</w:t>
                  </w:r>
                  <w:r w:rsidRPr="00F13442">
                    <w:rPr>
                      <w:rFonts w:ascii="Frutiger-Light" w:hAnsi="Frutiger-Light"/>
                      <w:sz w:val="17"/>
                      <w:szCs w:val="17"/>
                    </w:rPr>
                    <w:t xml:space="preserve"> se presentó formal reclamación ante Fianzas Comercial América, requiriéndola por el pago de la cantidad observada derivada de sanción por incumplimiento de los contratos números </w:t>
                  </w:r>
                  <w:r w:rsidRPr="00F13442">
                    <w:rPr>
                      <w:rFonts w:ascii="Frutiger-Light" w:hAnsi="Frutiger-Light"/>
                      <w:b/>
                      <w:sz w:val="17"/>
                      <w:szCs w:val="17"/>
                    </w:rPr>
                    <w:t xml:space="preserve">14-ADQ-003/1999, 14-ADQ-369/2000, </w:t>
                  </w:r>
                  <w:r w:rsidRPr="00F13442">
                    <w:rPr>
                      <w:rFonts w:ascii="Frutiger-Light" w:hAnsi="Frutiger-Light"/>
                      <w:sz w:val="17"/>
                      <w:szCs w:val="17"/>
                    </w:rPr>
                    <w:t xml:space="preserve"> pagos que </w:t>
                  </w:r>
                  <w:smartTag w:uri="urn:schemas-microsoft-com:office:smarttags" w:element="PersonName">
                    <w:smartTagPr>
                      <w:attr w:name="ProductID" w:val="la Afianzadora"/>
                    </w:smartTagPr>
                    <w:r w:rsidRPr="00F13442">
                      <w:rPr>
                        <w:rFonts w:ascii="Frutiger-Light" w:hAnsi="Frutiger-Light"/>
                        <w:sz w:val="17"/>
                        <w:szCs w:val="17"/>
                      </w:rPr>
                      <w:t>la Afianzadora</w:t>
                    </w:r>
                  </w:smartTag>
                  <w:r w:rsidRPr="00F13442">
                    <w:rPr>
                      <w:rFonts w:ascii="Frutiger-Light" w:hAnsi="Frutiger-Light"/>
                      <w:sz w:val="17"/>
                      <w:szCs w:val="17"/>
                    </w:rPr>
                    <w:t xml:space="preserve"> rechazo por escritos de fechas 29 de Mayo de </w:t>
                  </w:r>
                  <w:r w:rsidRPr="00F13442">
                    <w:rPr>
                      <w:rFonts w:ascii="Frutiger-Light" w:hAnsi="Frutiger-Light"/>
                      <w:b/>
                      <w:sz w:val="17"/>
                      <w:szCs w:val="17"/>
                    </w:rPr>
                    <w:t>2003</w:t>
                  </w:r>
                  <w:r w:rsidRPr="00F13442">
                    <w:rPr>
                      <w:rFonts w:ascii="Frutiger-Light" w:hAnsi="Frutiger-Light"/>
                      <w:sz w:val="17"/>
                      <w:szCs w:val="17"/>
                    </w:rPr>
                    <w:t xml:space="preserve">, y 17 de Julio de </w:t>
                  </w:r>
                  <w:r w:rsidRPr="00F13442">
                    <w:rPr>
                      <w:rFonts w:ascii="Frutiger-Light" w:hAnsi="Frutiger-Light"/>
                      <w:b/>
                      <w:sz w:val="17"/>
                      <w:szCs w:val="17"/>
                    </w:rPr>
                    <w:t>2003</w:t>
                  </w:r>
                  <w:r w:rsidRPr="00F13442">
                    <w:rPr>
                      <w:rFonts w:ascii="Frutiger-Light" w:hAnsi="Frutiger-Light"/>
                      <w:sz w:val="17"/>
                      <w:szCs w:val="17"/>
                    </w:rPr>
                    <w:t xml:space="preserve">, atendiendo a que las fianzas de cumplimiento se encontraban caducas, por no haberse presentado la reclamación respectiva dentro de los </w:t>
                  </w:r>
                  <w:r w:rsidRPr="00F13442">
                    <w:rPr>
                      <w:rFonts w:ascii="Frutiger-Light" w:hAnsi="Frutiger-Light"/>
                      <w:b/>
                      <w:sz w:val="17"/>
                      <w:szCs w:val="17"/>
                    </w:rPr>
                    <w:t xml:space="preserve">180 </w:t>
                  </w:r>
                  <w:r w:rsidRPr="00F13442">
                    <w:rPr>
                      <w:rFonts w:ascii="Frutiger-Light" w:hAnsi="Frutiger-Light"/>
                      <w:sz w:val="17"/>
                      <w:szCs w:val="17"/>
                    </w:rPr>
                    <w:t xml:space="preserve">días naturales que prevé el artículo </w:t>
                  </w:r>
                  <w:r w:rsidRPr="00F13442">
                    <w:rPr>
                      <w:rFonts w:ascii="Frutiger-Light" w:hAnsi="Frutiger-Light"/>
                      <w:b/>
                      <w:sz w:val="17"/>
                      <w:szCs w:val="17"/>
                    </w:rPr>
                    <w:t>120</w:t>
                  </w:r>
                  <w:r w:rsidRPr="00F13442">
                    <w:rPr>
                      <w:rFonts w:ascii="Frutiger-Light" w:hAnsi="Frutiger-Light"/>
                      <w:sz w:val="17"/>
                      <w:szCs w:val="17"/>
                    </w:rPr>
                    <w:t xml:space="preserve"> de </w:t>
                  </w:r>
                  <w:smartTag w:uri="urn:schemas-microsoft-com:office:smarttags" w:element="PersonName">
                    <w:smartTagPr>
                      <w:attr w:name="ProductID" w:val="la Ley General"/>
                    </w:smartTagPr>
                    <w:r w:rsidRPr="00F13442">
                      <w:rPr>
                        <w:rFonts w:ascii="Frutiger-Light" w:hAnsi="Frutiger-Light"/>
                        <w:sz w:val="17"/>
                        <w:szCs w:val="17"/>
                      </w:rPr>
                      <w:t>la Ley General</w:t>
                    </w:r>
                  </w:smartTag>
                  <w:r w:rsidRPr="00F13442">
                    <w:rPr>
                      <w:rFonts w:ascii="Frutiger-Light" w:hAnsi="Frutiger-Light"/>
                      <w:sz w:val="17"/>
                      <w:szCs w:val="17"/>
                    </w:rPr>
                    <w:t xml:space="preserve"> de Instituciones de Fianzas. Este procedimiento fue turnado para su atención al Lic. Roberto Valenzuela Ramírez, Abogado adscrito a </w:t>
                  </w:r>
                  <w:smartTag w:uri="urn:schemas-microsoft-com:office:smarttags" w:element="PersonName">
                    <w:smartTagPr>
                      <w:attr w:name="ProductID" w:val="la Coordinaci￳n Jur￭dica"/>
                    </w:smartTagPr>
                    <w:r w:rsidRPr="00F13442">
                      <w:rPr>
                        <w:rFonts w:ascii="Frutiger-Light" w:hAnsi="Frutiger-Light"/>
                        <w:sz w:val="17"/>
                        <w:szCs w:val="17"/>
                      </w:rPr>
                      <w:t>la Coordinación Jurídica</w:t>
                    </w:r>
                  </w:smartTag>
                  <w:r w:rsidRPr="00F13442">
                    <w:rPr>
                      <w:rFonts w:ascii="Frutiger-Light" w:hAnsi="Frutiger-Light"/>
                      <w:sz w:val="17"/>
                      <w:szCs w:val="17"/>
                    </w:rPr>
                    <w:t xml:space="preserve"> de CAPECE, Servidor Público que causo baja el 02 de Abril de 2008, luego entonces, al no haber dado seguimiento a estos procedimientos, exigiendo su importe ante las instancias Judiciales correspondientes, desde luego que incurrió en responsabilidad al no haber desempeñado con diligencia al asunto que se le encomendó, por ello corresponde a este Órgano de Control el fincar la responsabilidad Administrativa a que haya lugar, se acompañan las constancias de la baja del Servidor responsable.</w:t>
                  </w:r>
                </w:p>
              </w:tc>
            </w:tr>
          </w:tbl>
          <w:p w:rsidR="00B90086" w:rsidRPr="00F84222" w:rsidRDefault="00B90086" w:rsidP="000D6F12">
            <w:pPr>
              <w:jc w:val="both"/>
              <w:rPr>
                <w:rFonts w:ascii="Frutiger-Light" w:hAnsi="Frutiger-Light"/>
                <w:bCs/>
                <w:sz w:val="18"/>
                <w:szCs w:val="18"/>
              </w:rPr>
            </w:pPr>
          </w:p>
        </w:tc>
      </w:tr>
    </w:tbl>
    <w:p w:rsidR="00E4617B" w:rsidRDefault="00E4617B"/>
    <w:sectPr w:rsidR="00E4617B" w:rsidSect="00E461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utiger-Light">
    <w:altName w:val="Cambria Math"/>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hyphenationZone w:val="425"/>
  <w:characterSpacingControl w:val="doNotCompress"/>
  <w:compat/>
  <w:rsids>
    <w:rsidRoot w:val="00B90086"/>
    <w:rsid w:val="00036549"/>
    <w:rsid w:val="00973C09"/>
    <w:rsid w:val="00B90086"/>
    <w:rsid w:val="00E461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8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3179</Characters>
  <Application>Microsoft Office Word</Application>
  <DocSecurity>0</DocSecurity>
  <Lines>26</Lines>
  <Paragraphs>7</Paragraphs>
  <ScaleCrop>false</ScaleCrop>
  <Company>X</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2014-07-03T19:13:00Z</dcterms:created>
  <dcterms:modified xsi:type="dcterms:W3CDTF">2014-07-03T19:14:00Z</dcterms:modified>
</cp:coreProperties>
</file>