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36" w:rsidRPr="00D43D3D" w:rsidRDefault="00A85736" w:rsidP="00A85736">
      <w:pPr>
        <w:tabs>
          <w:tab w:val="left" w:pos="3694"/>
        </w:tabs>
        <w:jc w:val="center"/>
        <w:rPr>
          <w:rFonts w:ascii="Arial" w:hAnsi="Arial" w:cs="Arial"/>
          <w:b/>
          <w:sz w:val="24"/>
        </w:rPr>
      </w:pPr>
      <w:bookmarkStart w:id="0" w:name="_GoBack"/>
      <w:r w:rsidRPr="00D43D3D">
        <w:rPr>
          <w:rFonts w:ascii="Arial" w:hAnsi="Arial" w:cs="Arial"/>
          <w:b/>
          <w:sz w:val="24"/>
        </w:rPr>
        <w:t xml:space="preserve">ANEXO </w:t>
      </w:r>
      <w:r w:rsidR="00B17DCD" w:rsidRPr="00D43D3D">
        <w:rPr>
          <w:rFonts w:ascii="Arial" w:hAnsi="Arial" w:cs="Arial"/>
          <w:b/>
          <w:sz w:val="24"/>
        </w:rPr>
        <w:t>6</w:t>
      </w:r>
    </w:p>
    <w:bookmarkEnd w:id="0"/>
    <w:p w:rsidR="00A85736" w:rsidRPr="00D43D3D" w:rsidRDefault="00A85736" w:rsidP="00A85736">
      <w:pPr>
        <w:tabs>
          <w:tab w:val="left" w:pos="3694"/>
        </w:tabs>
        <w:jc w:val="center"/>
        <w:rPr>
          <w:sz w:val="22"/>
        </w:rPr>
      </w:pPr>
    </w:p>
    <w:p w:rsidR="00E70FEE" w:rsidRPr="00D43D3D" w:rsidRDefault="00A85736" w:rsidP="00A85736">
      <w:pPr>
        <w:jc w:val="center"/>
        <w:rPr>
          <w:rFonts w:ascii="Arial" w:hAnsi="Arial" w:cs="Arial"/>
          <w:b/>
          <w:bCs/>
          <w:sz w:val="22"/>
        </w:rPr>
      </w:pPr>
      <w:r w:rsidRPr="00D43D3D">
        <w:rPr>
          <w:rFonts w:ascii="Arial" w:hAnsi="Arial" w:cs="Arial"/>
          <w:b/>
          <w:bCs/>
          <w:sz w:val="22"/>
        </w:rPr>
        <w:t>Colegio de Educación Técnica del Estado de Jalisco</w:t>
      </w:r>
    </w:p>
    <w:p w:rsidR="00A85736" w:rsidRPr="00D43D3D" w:rsidRDefault="00A07706" w:rsidP="00A85736">
      <w:pPr>
        <w:jc w:val="center"/>
        <w:rPr>
          <w:sz w:val="22"/>
        </w:rPr>
      </w:pPr>
      <w:r w:rsidRPr="00D43D3D">
        <w:rPr>
          <w:rFonts w:ascii="Arial" w:hAnsi="Arial" w:cs="Arial"/>
          <w:b/>
          <w:sz w:val="22"/>
        </w:rPr>
        <w:t xml:space="preserve">1 de Marzo al 31 de Diciembre del 2013 y del 1 de Enero al 31 de Diciembre del </w:t>
      </w:r>
      <w:r w:rsidR="004875FD" w:rsidRPr="00D43D3D">
        <w:rPr>
          <w:rFonts w:ascii="Arial" w:hAnsi="Arial" w:cs="Arial"/>
          <w:b/>
          <w:sz w:val="22"/>
        </w:rPr>
        <w:t>2014</w:t>
      </w:r>
    </w:p>
    <w:p w:rsidR="00A85736" w:rsidRPr="00D43D3D" w:rsidRDefault="00A85736" w:rsidP="00A85736">
      <w:pPr>
        <w:jc w:val="right"/>
        <w:rPr>
          <w:rFonts w:ascii="Arial" w:hAnsi="Arial" w:cs="Arial"/>
          <w:b/>
          <w:sz w:val="22"/>
        </w:rPr>
      </w:pPr>
    </w:p>
    <w:p w:rsidR="00A85736" w:rsidRPr="00D43D3D" w:rsidRDefault="00A85736" w:rsidP="00A85736">
      <w:pPr>
        <w:jc w:val="right"/>
        <w:rPr>
          <w:rFonts w:ascii="Arial" w:hAnsi="Arial" w:cs="Arial"/>
          <w:b/>
          <w:sz w:val="22"/>
        </w:rPr>
      </w:pPr>
      <w:r w:rsidRPr="00D43D3D">
        <w:rPr>
          <w:rFonts w:ascii="Arial" w:hAnsi="Arial" w:cs="Arial"/>
          <w:b/>
          <w:sz w:val="22"/>
        </w:rPr>
        <w:t xml:space="preserve">Observación </w:t>
      </w:r>
      <w:r w:rsidR="00A07706" w:rsidRPr="00D43D3D">
        <w:rPr>
          <w:rFonts w:ascii="Arial" w:hAnsi="Arial" w:cs="Arial"/>
          <w:b/>
          <w:szCs w:val="18"/>
        </w:rPr>
        <w:t>4.1.-</w:t>
      </w:r>
    </w:p>
    <w:p w:rsidR="00A85736" w:rsidRPr="00A07706" w:rsidRDefault="00A85736" w:rsidP="00A85736">
      <w:pPr>
        <w:rPr>
          <w:rFonts w:ascii="Arial" w:hAnsi="Arial" w:cs="Arial"/>
          <w:b/>
        </w:rPr>
      </w:pPr>
    </w:p>
    <w:p w:rsidR="00C14B1A" w:rsidRDefault="00D43D3D" w:rsidP="00A8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Respuesta </w:t>
      </w:r>
      <w:r w:rsidR="007F1CA4">
        <w:rPr>
          <w:rFonts w:ascii="Arial" w:hAnsi="Arial" w:cs="Arial"/>
          <w:b/>
        </w:rPr>
        <w:t>4.1</w:t>
      </w:r>
    </w:p>
    <w:p w:rsidR="00A85736" w:rsidRPr="00A07706" w:rsidRDefault="00A85736" w:rsidP="00A85736">
      <w:pPr>
        <w:rPr>
          <w:rFonts w:ascii="Arial" w:hAnsi="Arial" w:cs="Arial"/>
          <w:b/>
          <w:sz w:val="10"/>
          <w:szCs w:val="10"/>
        </w:rPr>
      </w:pPr>
    </w:p>
    <w:p w:rsidR="00A07706" w:rsidRPr="004A399C" w:rsidRDefault="00A07706" w:rsidP="00A07706">
      <w:pPr>
        <w:jc w:val="both"/>
        <w:rPr>
          <w:rFonts w:ascii="Arial" w:hAnsi="Arial" w:cs="Arial"/>
          <w:sz w:val="18"/>
        </w:rPr>
      </w:pPr>
      <w:r w:rsidRPr="004A399C">
        <w:rPr>
          <w:rFonts w:ascii="Arial" w:hAnsi="Arial" w:cs="Arial"/>
          <w:sz w:val="18"/>
        </w:rPr>
        <w:t xml:space="preserve">Como complemento al oficio número O DG.0742/04 2016 de fecha 11 de abril del 2016, por </w:t>
      </w:r>
      <w:r w:rsidR="00806477" w:rsidRPr="004A399C">
        <w:rPr>
          <w:rFonts w:ascii="Arial" w:hAnsi="Arial" w:cs="Arial"/>
          <w:sz w:val="18"/>
        </w:rPr>
        <w:t>el cual</w:t>
      </w:r>
      <w:r w:rsidRPr="004A399C">
        <w:rPr>
          <w:rFonts w:ascii="Arial" w:hAnsi="Arial" w:cs="Arial"/>
          <w:sz w:val="18"/>
        </w:rPr>
        <w:t xml:space="preserve"> este Organismo dio respuesta al informe de resultados de auditoría y cédula de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observaciones que le fueron notificados por ese Órgano de Control mediante el comunicado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DGP/584/2016 de fecha 05 de febrero del 2016, derivado de la revisión que dio inicio el 04 de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febrero de 2015 bajo el oficio DGP/002/15 por los periodos comprendidos del 01 de marzo al 31de diciembre de 2013 y del 01 de enero al 31 de diciembre de 2014 y eventos posteriores;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 xml:space="preserve">respecto a la </w:t>
      </w:r>
      <w:r w:rsidRPr="004A399C">
        <w:rPr>
          <w:rFonts w:ascii="Arial" w:hAnsi="Arial" w:cs="Arial"/>
          <w:b/>
          <w:sz w:val="18"/>
        </w:rPr>
        <w:t>Observación 4.</w:t>
      </w:r>
      <w:r w:rsidR="00697F8B">
        <w:rPr>
          <w:rFonts w:ascii="Arial" w:hAnsi="Arial" w:cs="Arial"/>
          <w:b/>
          <w:sz w:val="18"/>
        </w:rPr>
        <w:t>1</w:t>
      </w:r>
      <w:r w:rsidRPr="004A399C">
        <w:rPr>
          <w:rFonts w:ascii="Arial" w:hAnsi="Arial" w:cs="Arial"/>
          <w:sz w:val="18"/>
        </w:rPr>
        <w:t xml:space="preserve"> CONVENIOS: Incumplimiento de convenio, me permito exponerle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los siguientes:</w:t>
      </w:r>
    </w:p>
    <w:p w:rsidR="00A07706" w:rsidRPr="00A07706" w:rsidRDefault="00A07706" w:rsidP="00A07706">
      <w:pPr>
        <w:jc w:val="both"/>
        <w:rPr>
          <w:rFonts w:ascii="Arial" w:hAnsi="Arial" w:cs="Arial"/>
          <w:sz w:val="10"/>
          <w:szCs w:val="10"/>
        </w:rPr>
      </w:pPr>
    </w:p>
    <w:p w:rsidR="00A07706" w:rsidRPr="004A399C" w:rsidRDefault="00A07706" w:rsidP="00A07706">
      <w:pPr>
        <w:jc w:val="both"/>
        <w:rPr>
          <w:rFonts w:ascii="Arial" w:hAnsi="Arial" w:cs="Arial"/>
          <w:sz w:val="18"/>
        </w:rPr>
      </w:pPr>
      <w:r w:rsidRPr="004A399C">
        <w:rPr>
          <w:rFonts w:ascii="Arial" w:hAnsi="Arial" w:cs="Arial"/>
          <w:sz w:val="18"/>
        </w:rPr>
        <w:t>1. En el "CONVENIO de Coordinación para la federalización de los servicios de educación profesional técnica que suscriben las secretarias de Educación Pública, de Hacienda y crédito Público, y de Contraloría y Desarrollo Administrativo, así como el Colegio Nacional de Educación Profesional Técnica y el Estado de Jalisco” publicado en el diario oficial de la federación de fecha 07 de junio de 1999”, se estipula en la Cláusula VIGÉSIMANOVENA destinar el 0.2% del monto total de los recursos financieros que se transfieran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al Organismo, en favor del órgano Estatal de control, y con base a lo establecido en la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 xml:space="preserve">Cláusula VIGESIMA TERCERA en su párrafo segundo: "Las transferencias de los </w:t>
      </w:r>
      <w:r>
        <w:rPr>
          <w:rFonts w:ascii="Arial" w:hAnsi="Arial" w:cs="Arial"/>
          <w:sz w:val="18"/>
        </w:rPr>
        <w:t>recursos f</w:t>
      </w:r>
      <w:r w:rsidRPr="004A399C">
        <w:rPr>
          <w:rFonts w:ascii="Arial" w:hAnsi="Arial" w:cs="Arial"/>
          <w:sz w:val="18"/>
        </w:rPr>
        <w:t>inancieros se harán conforme al Presupuesto de Egresos de la Federación, aprobado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para el ejercicio fiscal correspondiente...". (ANEXO 1. Convenio de Federalización).</w:t>
      </w:r>
    </w:p>
    <w:p w:rsidR="00A07706" w:rsidRPr="00A07706" w:rsidRDefault="00A07706" w:rsidP="00A07706">
      <w:pPr>
        <w:jc w:val="both"/>
        <w:rPr>
          <w:rFonts w:ascii="Arial" w:hAnsi="Arial" w:cs="Arial"/>
          <w:sz w:val="10"/>
          <w:szCs w:val="10"/>
        </w:rPr>
      </w:pPr>
    </w:p>
    <w:p w:rsidR="00A07706" w:rsidRPr="004A399C" w:rsidRDefault="00A07706" w:rsidP="00A07706">
      <w:pPr>
        <w:jc w:val="both"/>
        <w:rPr>
          <w:rFonts w:ascii="Arial" w:hAnsi="Arial" w:cs="Arial"/>
          <w:sz w:val="18"/>
        </w:rPr>
      </w:pPr>
      <w:r w:rsidRPr="004A399C">
        <w:rPr>
          <w:rFonts w:ascii="Arial" w:hAnsi="Arial" w:cs="Arial"/>
          <w:sz w:val="18"/>
        </w:rPr>
        <w:t>2. Oficio No. DGP/5440/13 de fecha 13 de noviembre de 2013 (OFICIO INSTRUCCIÓN),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notificado el día 19 de noviembre del año en cita al Lic. y C.P.A Pedro Humberto Garza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Gómez, entonces Director General del Colegio de Educación Profesional Técnica del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Estado de Jalisco, informándole de la necesidad de cumplir con la obligación convenida,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derivado a resolución a favor por el Cuarto Tribunal Colegiado donde se aprecia la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sentencia definitiva para otorgar el CONALEP Jalisco el pago 0.2% al órgano de Control;</w:t>
      </w:r>
    </w:p>
    <w:p w:rsidR="00A07706" w:rsidRPr="00A07706" w:rsidRDefault="00A07706" w:rsidP="00A07706">
      <w:pPr>
        <w:jc w:val="both"/>
        <w:rPr>
          <w:rFonts w:ascii="Arial" w:hAnsi="Arial" w:cs="Arial"/>
          <w:sz w:val="10"/>
          <w:szCs w:val="10"/>
        </w:rPr>
      </w:pPr>
    </w:p>
    <w:p w:rsidR="00A07706" w:rsidRPr="004A399C" w:rsidRDefault="00A07706" w:rsidP="00A07706">
      <w:pPr>
        <w:jc w:val="both"/>
        <w:rPr>
          <w:rFonts w:ascii="Arial" w:hAnsi="Arial" w:cs="Arial"/>
          <w:sz w:val="18"/>
        </w:rPr>
      </w:pPr>
      <w:r w:rsidRPr="004A399C">
        <w:rPr>
          <w:rFonts w:ascii="Arial" w:hAnsi="Arial" w:cs="Arial"/>
          <w:sz w:val="18"/>
        </w:rPr>
        <w:t>Ya que fue observado el pago del 0.2% por la Auditoria Superior de la Federación,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ordenando mediante procedimiento de responsabilidades, el reintegro del recurso,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que motivó al CONALEP Jalisco a suspender dicho pago, para evitar que el mismo siguiera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siendo observado, y al mismo tiempo personal de la Contraloría representó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jurisdiccionalmente junto con los servidores públicos afectados, interponiendo un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amparo, el cual se turnó con el número 275/2011, resolviéndose en definitiva el 21 de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septiembre de 2012. (ANEXO 2. Oficio de Instrucción), (ANEXO 3. Resolución de amparo).</w:t>
      </w:r>
    </w:p>
    <w:p w:rsidR="00A07706" w:rsidRPr="00A07706" w:rsidRDefault="00A07706" w:rsidP="00A07706">
      <w:pPr>
        <w:jc w:val="both"/>
        <w:rPr>
          <w:rFonts w:ascii="Arial" w:hAnsi="Arial" w:cs="Arial"/>
          <w:sz w:val="10"/>
          <w:szCs w:val="10"/>
        </w:rPr>
      </w:pPr>
    </w:p>
    <w:p w:rsidR="00A07706" w:rsidRPr="004A399C" w:rsidRDefault="00A07706" w:rsidP="00A07706">
      <w:pPr>
        <w:jc w:val="both"/>
        <w:rPr>
          <w:rFonts w:ascii="Arial" w:hAnsi="Arial" w:cs="Arial"/>
          <w:sz w:val="18"/>
        </w:rPr>
      </w:pPr>
      <w:r w:rsidRPr="004A399C">
        <w:rPr>
          <w:rFonts w:ascii="Arial" w:hAnsi="Arial" w:cs="Arial"/>
          <w:sz w:val="18"/>
        </w:rPr>
        <w:t>3. Oficio DGP/0584/2016 por el que fueron notificados el informe de resultados de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auditoría y cédula de observaciones de los ejercicios 2013 y 2014, el 18 de febrero a este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Organismo. En este documento se indica proceder a "notificar a los presuntos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responsables de las observaciones (entre ellas la referente a Contratos y Convenios), obtener su respuesta y justificación a las mismas y remitirlas a ese Órgano de Control, y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previa determinación de la Contraloría iniciar los procedimientos de responsabilidad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administrativa legal a que haya lugar". En este tenor, el Colegio acordó iniciar el 1 de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marzo de 2016 el procedimiento de responsabilidad administrativa en contra del Lic. Y C.P.A. Pedro Humberto Garza Gómez, Ex Director General del CONALEP Jalisco, como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presunto responsable, por el ejercicio 2013, de la falta de pago de la cantidad de $346,641.86 (a través del Organismo) a la Contraloría del Estado, como resultado de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aplicar el 0.2 % de los recursos transferidos al Colegio.</w:t>
      </w:r>
    </w:p>
    <w:p w:rsidR="00A07706" w:rsidRPr="00A07706" w:rsidRDefault="00A07706" w:rsidP="00A07706">
      <w:pPr>
        <w:jc w:val="both"/>
        <w:rPr>
          <w:rFonts w:ascii="Arial" w:hAnsi="Arial" w:cs="Arial"/>
          <w:sz w:val="10"/>
          <w:szCs w:val="10"/>
        </w:rPr>
      </w:pPr>
    </w:p>
    <w:p w:rsidR="00A07706" w:rsidRPr="004A399C" w:rsidRDefault="00A07706" w:rsidP="00A07706">
      <w:pPr>
        <w:jc w:val="both"/>
        <w:rPr>
          <w:rFonts w:ascii="Arial" w:hAnsi="Arial" w:cs="Arial"/>
          <w:sz w:val="18"/>
        </w:rPr>
      </w:pPr>
      <w:r w:rsidRPr="004A399C">
        <w:rPr>
          <w:rFonts w:ascii="Arial" w:hAnsi="Arial" w:cs="Arial"/>
          <w:sz w:val="18"/>
        </w:rPr>
        <w:t>El 4 de marzo de 2013 se procedió a realizar en el domicilio particular del ex servidor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público citado con anterioridad, la diligencia de notificación del oficio O.DG.CCI.0526-A/03.2016 de fecha 03 de marzo de 2016, en el cual se envía el respaldo físico de la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notificación de las observaciones (4.1); aclarando que no fue posible realizar dicha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diligencia, en virtud de que el personal comisionado para el desahogo de la misma, al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momento de entregar el aviso, fue informado que había fallecido en el mes de enero de2016. (ANEXO 4. Notificación) y (ANEXO 5. Nombramiento),</w:t>
      </w:r>
    </w:p>
    <w:p w:rsidR="00A07706" w:rsidRDefault="00A07706" w:rsidP="00A07706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8"/>
        <w:gridCol w:w="1985"/>
        <w:gridCol w:w="1559"/>
      </w:tblGrid>
      <w:tr w:rsidR="00A07706" w:rsidTr="00806477">
        <w:trPr>
          <w:trHeight w:val="377"/>
          <w:jc w:val="center"/>
        </w:trPr>
        <w:tc>
          <w:tcPr>
            <w:tcW w:w="1018" w:type="dxa"/>
            <w:vAlign w:val="center"/>
          </w:tcPr>
          <w:p w:rsidR="00A07706" w:rsidRPr="00D43D3D" w:rsidRDefault="00A07706" w:rsidP="0041009C">
            <w:pPr>
              <w:rPr>
                <w:rFonts w:ascii="Arial" w:hAnsi="Arial" w:cs="Arial"/>
                <w:b/>
                <w:sz w:val="18"/>
              </w:rPr>
            </w:pPr>
            <w:r w:rsidRPr="00D43D3D">
              <w:rPr>
                <w:rFonts w:ascii="Arial" w:hAnsi="Arial" w:cs="Arial"/>
                <w:b/>
                <w:sz w:val="18"/>
              </w:rPr>
              <w:t>Ejercicio</w:t>
            </w:r>
          </w:p>
        </w:tc>
        <w:tc>
          <w:tcPr>
            <w:tcW w:w="1985" w:type="dxa"/>
            <w:vAlign w:val="center"/>
          </w:tcPr>
          <w:p w:rsidR="00A07706" w:rsidRPr="00D43D3D" w:rsidRDefault="00A07706" w:rsidP="0041009C">
            <w:pPr>
              <w:rPr>
                <w:rFonts w:ascii="Arial" w:hAnsi="Arial" w:cs="Arial"/>
                <w:b/>
                <w:sz w:val="18"/>
              </w:rPr>
            </w:pPr>
            <w:r w:rsidRPr="00D43D3D">
              <w:rPr>
                <w:rFonts w:ascii="Arial" w:hAnsi="Arial" w:cs="Arial"/>
                <w:b/>
                <w:sz w:val="18"/>
              </w:rPr>
              <w:t>Subsidio Federal</w:t>
            </w:r>
          </w:p>
        </w:tc>
        <w:tc>
          <w:tcPr>
            <w:tcW w:w="1559" w:type="dxa"/>
            <w:vAlign w:val="center"/>
          </w:tcPr>
          <w:p w:rsidR="00A07706" w:rsidRPr="00D43D3D" w:rsidRDefault="00A07706" w:rsidP="00806477">
            <w:pPr>
              <w:rPr>
                <w:rFonts w:ascii="Arial" w:hAnsi="Arial" w:cs="Arial"/>
                <w:b/>
                <w:sz w:val="18"/>
              </w:rPr>
            </w:pPr>
            <w:r w:rsidRPr="00D43D3D">
              <w:rPr>
                <w:rFonts w:ascii="Arial" w:hAnsi="Arial" w:cs="Arial"/>
                <w:b/>
                <w:sz w:val="18"/>
              </w:rPr>
              <w:t>Porcentaje 0.2%</w:t>
            </w:r>
          </w:p>
        </w:tc>
      </w:tr>
      <w:tr w:rsidR="00A07706" w:rsidTr="0041009C">
        <w:trPr>
          <w:trHeight w:val="255"/>
          <w:jc w:val="center"/>
        </w:trPr>
        <w:tc>
          <w:tcPr>
            <w:tcW w:w="1018" w:type="dxa"/>
          </w:tcPr>
          <w:p w:rsidR="00A07706" w:rsidRPr="004A399C" w:rsidRDefault="00A07706" w:rsidP="0041009C">
            <w:pPr>
              <w:rPr>
                <w:rFonts w:ascii="Arial" w:hAnsi="Arial" w:cs="Arial"/>
                <w:sz w:val="18"/>
              </w:rPr>
            </w:pPr>
            <w:r w:rsidRPr="004A399C">
              <w:rPr>
                <w:rFonts w:ascii="Arial" w:hAnsi="Arial" w:cs="Arial"/>
                <w:sz w:val="18"/>
              </w:rPr>
              <w:t>2013</w:t>
            </w:r>
          </w:p>
        </w:tc>
        <w:tc>
          <w:tcPr>
            <w:tcW w:w="1985" w:type="dxa"/>
          </w:tcPr>
          <w:p w:rsidR="00A07706" w:rsidRPr="004A399C" w:rsidRDefault="00A07706" w:rsidP="0041009C">
            <w:pPr>
              <w:jc w:val="right"/>
              <w:rPr>
                <w:rFonts w:ascii="Arial" w:hAnsi="Arial" w:cs="Arial"/>
                <w:sz w:val="18"/>
              </w:rPr>
            </w:pPr>
            <w:r w:rsidRPr="004A399C">
              <w:rPr>
                <w:rFonts w:ascii="Arial" w:hAnsi="Arial" w:cs="Arial"/>
                <w:sz w:val="18"/>
              </w:rPr>
              <w:t>$173,320,928.44</w:t>
            </w:r>
          </w:p>
        </w:tc>
        <w:tc>
          <w:tcPr>
            <w:tcW w:w="1559" w:type="dxa"/>
          </w:tcPr>
          <w:p w:rsidR="00A07706" w:rsidRPr="004A399C" w:rsidRDefault="00A07706" w:rsidP="0041009C">
            <w:pPr>
              <w:jc w:val="right"/>
              <w:rPr>
                <w:rFonts w:ascii="Arial" w:hAnsi="Arial" w:cs="Arial"/>
                <w:sz w:val="18"/>
              </w:rPr>
            </w:pPr>
            <w:r w:rsidRPr="004A399C">
              <w:rPr>
                <w:rFonts w:ascii="Arial" w:hAnsi="Arial" w:cs="Arial"/>
                <w:sz w:val="18"/>
              </w:rPr>
              <w:t>$346,641.86</w:t>
            </w:r>
          </w:p>
        </w:tc>
      </w:tr>
      <w:tr w:rsidR="00A07706" w:rsidTr="0041009C">
        <w:trPr>
          <w:trHeight w:val="255"/>
          <w:jc w:val="center"/>
        </w:trPr>
        <w:tc>
          <w:tcPr>
            <w:tcW w:w="1018" w:type="dxa"/>
          </w:tcPr>
          <w:p w:rsidR="00A07706" w:rsidRPr="004A399C" w:rsidRDefault="00A07706" w:rsidP="0041009C">
            <w:pPr>
              <w:rPr>
                <w:rFonts w:ascii="Arial" w:hAnsi="Arial" w:cs="Arial"/>
                <w:sz w:val="18"/>
              </w:rPr>
            </w:pPr>
            <w:r w:rsidRPr="004A399C"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7706" w:rsidRPr="004A399C" w:rsidRDefault="00A07706" w:rsidP="0041009C">
            <w:pPr>
              <w:jc w:val="right"/>
              <w:rPr>
                <w:rFonts w:ascii="Arial" w:hAnsi="Arial" w:cs="Arial"/>
                <w:sz w:val="18"/>
              </w:rPr>
            </w:pPr>
            <w:r w:rsidRPr="004A399C">
              <w:rPr>
                <w:rFonts w:ascii="Arial" w:hAnsi="Arial" w:cs="Arial"/>
                <w:sz w:val="18"/>
              </w:rPr>
              <w:t>$220,388,949.43</w:t>
            </w:r>
          </w:p>
        </w:tc>
        <w:tc>
          <w:tcPr>
            <w:tcW w:w="1559" w:type="dxa"/>
          </w:tcPr>
          <w:p w:rsidR="00A07706" w:rsidRPr="004A399C" w:rsidRDefault="00A07706" w:rsidP="0041009C">
            <w:pPr>
              <w:jc w:val="right"/>
              <w:rPr>
                <w:rFonts w:ascii="Arial" w:hAnsi="Arial" w:cs="Arial"/>
                <w:sz w:val="18"/>
              </w:rPr>
            </w:pPr>
            <w:r w:rsidRPr="004A399C">
              <w:rPr>
                <w:rFonts w:ascii="Arial" w:hAnsi="Arial" w:cs="Arial"/>
                <w:sz w:val="18"/>
              </w:rPr>
              <w:t>$440,777.90</w:t>
            </w:r>
          </w:p>
        </w:tc>
      </w:tr>
      <w:tr w:rsidR="00A07706" w:rsidTr="0041009C">
        <w:trPr>
          <w:trHeight w:val="241"/>
          <w:jc w:val="center"/>
        </w:trPr>
        <w:tc>
          <w:tcPr>
            <w:tcW w:w="1018" w:type="dxa"/>
            <w:tcBorders>
              <w:right w:val="nil"/>
            </w:tcBorders>
          </w:tcPr>
          <w:p w:rsidR="00A07706" w:rsidRPr="004A399C" w:rsidRDefault="00A07706" w:rsidP="004100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07706" w:rsidRPr="004A399C" w:rsidRDefault="00A07706" w:rsidP="0041009C">
            <w:pPr>
              <w:rPr>
                <w:rFonts w:ascii="Arial" w:hAnsi="Arial" w:cs="Arial"/>
                <w:sz w:val="18"/>
              </w:rPr>
            </w:pPr>
            <w:r w:rsidRPr="004A399C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559" w:type="dxa"/>
          </w:tcPr>
          <w:p w:rsidR="00A07706" w:rsidRPr="004A399C" w:rsidRDefault="00A07706" w:rsidP="0041009C">
            <w:pPr>
              <w:jc w:val="right"/>
              <w:rPr>
                <w:rFonts w:ascii="Arial" w:hAnsi="Arial" w:cs="Arial"/>
                <w:sz w:val="18"/>
              </w:rPr>
            </w:pPr>
            <w:r w:rsidRPr="004A399C">
              <w:rPr>
                <w:rFonts w:ascii="Arial" w:hAnsi="Arial" w:cs="Arial"/>
                <w:sz w:val="18"/>
              </w:rPr>
              <w:t>$787,419.76</w:t>
            </w:r>
          </w:p>
        </w:tc>
      </w:tr>
    </w:tbl>
    <w:p w:rsidR="00A07706" w:rsidRDefault="00A07706" w:rsidP="00A07706">
      <w:r>
        <w:tab/>
      </w:r>
    </w:p>
    <w:p w:rsidR="00A07706" w:rsidRPr="004A399C" w:rsidRDefault="00A07706" w:rsidP="00A07706">
      <w:pPr>
        <w:rPr>
          <w:rFonts w:ascii="Arial" w:hAnsi="Arial" w:cs="Arial"/>
          <w:sz w:val="18"/>
        </w:rPr>
      </w:pPr>
      <w:r w:rsidRPr="004A399C">
        <w:rPr>
          <w:rFonts w:ascii="Arial" w:hAnsi="Arial" w:cs="Arial"/>
          <w:sz w:val="18"/>
        </w:rPr>
        <w:t>Tomando en consideración lo expuesto con anterioridad y sin menoscabo a lo establecido en el CONVENIO de Coordinación para la federalización de los servicios de educación profesional técnica que suscriben las secretarías de Educación Pública, de Hacienda y Crédito Público, y de Contraloría y Desarrollo Administrativo, así como el Colegio Nacional de Educación Profesional Técnica y el Estado de Jalisco", someto a su gentil consideración las siguientes:</w:t>
      </w:r>
    </w:p>
    <w:p w:rsidR="00A07706" w:rsidRPr="00A07706" w:rsidRDefault="00A07706" w:rsidP="00A07706">
      <w:pPr>
        <w:rPr>
          <w:rFonts w:ascii="Arial" w:hAnsi="Arial" w:cs="Arial"/>
          <w:sz w:val="10"/>
          <w:szCs w:val="10"/>
        </w:rPr>
      </w:pPr>
    </w:p>
    <w:p w:rsidR="00A07706" w:rsidRPr="004A399C" w:rsidRDefault="00A07706" w:rsidP="00A07706">
      <w:pPr>
        <w:rPr>
          <w:rFonts w:ascii="Arial" w:hAnsi="Arial" w:cs="Arial"/>
          <w:b/>
          <w:sz w:val="18"/>
        </w:rPr>
      </w:pPr>
      <w:r w:rsidRPr="004A399C">
        <w:rPr>
          <w:rFonts w:ascii="Arial" w:hAnsi="Arial" w:cs="Arial"/>
          <w:b/>
          <w:sz w:val="18"/>
        </w:rPr>
        <w:t>Propuestas.</w:t>
      </w:r>
    </w:p>
    <w:p w:rsidR="00A07706" w:rsidRPr="00D2037D" w:rsidRDefault="00A07706" w:rsidP="00A07706">
      <w:pPr>
        <w:rPr>
          <w:rFonts w:ascii="Arial" w:hAnsi="Arial" w:cs="Arial"/>
          <w:sz w:val="10"/>
          <w:szCs w:val="10"/>
        </w:rPr>
      </w:pPr>
    </w:p>
    <w:p w:rsidR="00A07706" w:rsidRPr="004A399C" w:rsidRDefault="00A07706" w:rsidP="00A07706">
      <w:pPr>
        <w:pStyle w:val="Prrafodelista"/>
        <w:numPr>
          <w:ilvl w:val="0"/>
          <w:numId w:val="3"/>
        </w:numPr>
        <w:rPr>
          <w:rFonts w:ascii="Arial" w:hAnsi="Arial" w:cs="Arial"/>
          <w:sz w:val="18"/>
        </w:rPr>
      </w:pPr>
      <w:r w:rsidRPr="004A399C">
        <w:rPr>
          <w:rFonts w:ascii="Arial" w:hAnsi="Arial" w:cs="Arial"/>
          <w:sz w:val="18"/>
        </w:rPr>
        <w:t>En ejercicio de sus atribuciones acordar la solventación de la observación Correspondiente al año 2013, cuyo monto asciende a la cantidad de $346,641.86.</w:t>
      </w:r>
    </w:p>
    <w:p w:rsidR="00A07706" w:rsidRPr="004A399C" w:rsidRDefault="00A07706" w:rsidP="00A07706">
      <w:pPr>
        <w:pStyle w:val="Prrafodelista"/>
        <w:numPr>
          <w:ilvl w:val="0"/>
          <w:numId w:val="3"/>
        </w:numPr>
        <w:rPr>
          <w:rFonts w:ascii="Arial" w:hAnsi="Arial" w:cs="Arial"/>
          <w:sz w:val="18"/>
        </w:rPr>
      </w:pPr>
      <w:r w:rsidRPr="004A399C">
        <w:rPr>
          <w:rFonts w:ascii="Arial" w:hAnsi="Arial" w:cs="Arial"/>
          <w:sz w:val="18"/>
        </w:rPr>
        <w:t>En cuanto a la observación referente al ejercicio 2014, el Colegio de Educación Profesional Técnica del Estado de Jalisco tiene la disposición de realizar el pago por el monto de $440,777.90 resultado de aplicar el 0.2% del recurso federal transferido endicho año, en apego a lo estipulado en el Convenio de Coordinación y como consecuencia, ese Órgano de Control a su merecido cargo, proceda a acordar la</w:t>
      </w:r>
      <w:r>
        <w:rPr>
          <w:rFonts w:ascii="Arial" w:hAnsi="Arial" w:cs="Arial"/>
          <w:sz w:val="18"/>
        </w:rPr>
        <w:t xml:space="preserve"> </w:t>
      </w:r>
      <w:r w:rsidRPr="004A399C">
        <w:rPr>
          <w:rFonts w:ascii="Arial" w:hAnsi="Arial" w:cs="Arial"/>
          <w:sz w:val="18"/>
        </w:rPr>
        <w:t>solventación correspondiente. (ANEXO 6. Análisis de Pago).</w:t>
      </w:r>
    </w:p>
    <w:p w:rsidR="00A07706" w:rsidRPr="004A399C" w:rsidRDefault="00A07706" w:rsidP="00A07706">
      <w:pPr>
        <w:rPr>
          <w:rFonts w:ascii="Arial" w:hAnsi="Arial" w:cs="Arial"/>
          <w:sz w:val="18"/>
        </w:rPr>
      </w:pPr>
    </w:p>
    <w:p w:rsidR="00A07706" w:rsidRPr="004A399C" w:rsidRDefault="00A07706" w:rsidP="00A07706">
      <w:pPr>
        <w:rPr>
          <w:rFonts w:ascii="Arial" w:hAnsi="Arial" w:cs="Arial"/>
          <w:sz w:val="18"/>
        </w:rPr>
      </w:pPr>
      <w:r w:rsidRPr="004A399C">
        <w:rPr>
          <w:rFonts w:ascii="Arial" w:hAnsi="Arial" w:cs="Arial"/>
          <w:sz w:val="18"/>
        </w:rPr>
        <w:t>Se adjuntan como antecedente, auxiliares contables en los que se refleja el movimiento de pago de ejercicios anteriores (ANEXO 7).</w:t>
      </w:r>
    </w:p>
    <w:p w:rsidR="00A85736" w:rsidRDefault="00A85736" w:rsidP="00A85736">
      <w:pPr>
        <w:tabs>
          <w:tab w:val="left" w:pos="7075"/>
        </w:tabs>
        <w:rPr>
          <w:lang w:val="es-MX"/>
        </w:rPr>
      </w:pPr>
    </w:p>
    <w:p w:rsidR="00AC546C" w:rsidRDefault="00AC546C" w:rsidP="00A85736">
      <w:pPr>
        <w:tabs>
          <w:tab w:val="left" w:pos="7075"/>
        </w:tabs>
        <w:rPr>
          <w:lang w:val="es-MX"/>
        </w:rPr>
      </w:pPr>
    </w:p>
    <w:p w:rsidR="00AC546C" w:rsidRDefault="00AC546C" w:rsidP="00A85736">
      <w:pPr>
        <w:tabs>
          <w:tab w:val="left" w:pos="7075"/>
        </w:tabs>
        <w:rPr>
          <w:lang w:val="es-MX"/>
        </w:rPr>
      </w:pPr>
    </w:p>
    <w:p w:rsidR="00285E94" w:rsidRDefault="00285E94" w:rsidP="00AC546C">
      <w:pPr>
        <w:tabs>
          <w:tab w:val="left" w:pos="3694"/>
        </w:tabs>
        <w:jc w:val="center"/>
        <w:rPr>
          <w:rFonts w:ascii="Arial" w:hAnsi="Arial" w:cs="Arial"/>
          <w:b/>
        </w:rPr>
      </w:pPr>
    </w:p>
    <w:sectPr w:rsidR="00285E94" w:rsidSect="00C85418">
      <w:pgSz w:w="12242" w:h="20163" w:code="5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75" w:rsidRDefault="003F0D75" w:rsidP="002035C4">
      <w:r>
        <w:separator/>
      </w:r>
    </w:p>
  </w:endnote>
  <w:endnote w:type="continuationSeparator" w:id="0">
    <w:p w:rsidR="003F0D75" w:rsidRDefault="003F0D75" w:rsidP="002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75" w:rsidRDefault="003F0D75" w:rsidP="002035C4">
      <w:r>
        <w:separator/>
      </w:r>
    </w:p>
  </w:footnote>
  <w:footnote w:type="continuationSeparator" w:id="0">
    <w:p w:rsidR="003F0D75" w:rsidRDefault="003F0D75" w:rsidP="002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67DC2"/>
    <w:multiLevelType w:val="multilevel"/>
    <w:tmpl w:val="B0AE9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F110E18"/>
    <w:multiLevelType w:val="hybridMultilevel"/>
    <w:tmpl w:val="D794FA1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67F12"/>
    <w:multiLevelType w:val="hybridMultilevel"/>
    <w:tmpl w:val="CB283F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5C4"/>
    <w:rsid w:val="0000273F"/>
    <w:rsid w:val="00015422"/>
    <w:rsid w:val="00020F25"/>
    <w:rsid w:val="000505AF"/>
    <w:rsid w:val="00067017"/>
    <w:rsid w:val="000712FD"/>
    <w:rsid w:val="00095B74"/>
    <w:rsid w:val="000A33E0"/>
    <w:rsid w:val="000B047B"/>
    <w:rsid w:val="000D6FAC"/>
    <w:rsid w:val="000E7C36"/>
    <w:rsid w:val="00116C6D"/>
    <w:rsid w:val="00125A5A"/>
    <w:rsid w:val="00127EFE"/>
    <w:rsid w:val="00136B4D"/>
    <w:rsid w:val="00140A06"/>
    <w:rsid w:val="00160EB4"/>
    <w:rsid w:val="001661E6"/>
    <w:rsid w:val="00177809"/>
    <w:rsid w:val="001942DF"/>
    <w:rsid w:val="00195D0C"/>
    <w:rsid w:val="001A300B"/>
    <w:rsid w:val="001A53AC"/>
    <w:rsid w:val="001B1F70"/>
    <w:rsid w:val="001F2AE5"/>
    <w:rsid w:val="002005EA"/>
    <w:rsid w:val="002035C4"/>
    <w:rsid w:val="00207059"/>
    <w:rsid w:val="0024665E"/>
    <w:rsid w:val="00267F2F"/>
    <w:rsid w:val="00285E94"/>
    <w:rsid w:val="00297249"/>
    <w:rsid w:val="002A6B2C"/>
    <w:rsid w:val="002A6E38"/>
    <w:rsid w:val="002E6D7F"/>
    <w:rsid w:val="00321940"/>
    <w:rsid w:val="00343DB0"/>
    <w:rsid w:val="00345EE3"/>
    <w:rsid w:val="00374D02"/>
    <w:rsid w:val="00387522"/>
    <w:rsid w:val="003A0304"/>
    <w:rsid w:val="003A514D"/>
    <w:rsid w:val="003B4CEE"/>
    <w:rsid w:val="003F0D75"/>
    <w:rsid w:val="003F13B5"/>
    <w:rsid w:val="004037B7"/>
    <w:rsid w:val="00414E98"/>
    <w:rsid w:val="004173AA"/>
    <w:rsid w:val="004202CC"/>
    <w:rsid w:val="00431109"/>
    <w:rsid w:val="00434DEE"/>
    <w:rsid w:val="00445520"/>
    <w:rsid w:val="00462515"/>
    <w:rsid w:val="004875FD"/>
    <w:rsid w:val="004947E1"/>
    <w:rsid w:val="00497958"/>
    <w:rsid w:val="004A37E3"/>
    <w:rsid w:val="004F4AF7"/>
    <w:rsid w:val="0053312D"/>
    <w:rsid w:val="00536679"/>
    <w:rsid w:val="00546339"/>
    <w:rsid w:val="00557AEE"/>
    <w:rsid w:val="00580678"/>
    <w:rsid w:val="005812B3"/>
    <w:rsid w:val="00584C17"/>
    <w:rsid w:val="00591FF5"/>
    <w:rsid w:val="005C1D40"/>
    <w:rsid w:val="005C35AB"/>
    <w:rsid w:val="005D65BE"/>
    <w:rsid w:val="005F1AA7"/>
    <w:rsid w:val="005F238D"/>
    <w:rsid w:val="005F584F"/>
    <w:rsid w:val="00616F74"/>
    <w:rsid w:val="00630408"/>
    <w:rsid w:val="006400CB"/>
    <w:rsid w:val="006615DF"/>
    <w:rsid w:val="00685FD4"/>
    <w:rsid w:val="00697F8B"/>
    <w:rsid w:val="006B52EA"/>
    <w:rsid w:val="006C38E8"/>
    <w:rsid w:val="006F20E1"/>
    <w:rsid w:val="006F28FA"/>
    <w:rsid w:val="007414E3"/>
    <w:rsid w:val="00750909"/>
    <w:rsid w:val="00786D8F"/>
    <w:rsid w:val="00791A3E"/>
    <w:rsid w:val="007C5F65"/>
    <w:rsid w:val="007D20DB"/>
    <w:rsid w:val="007F1CA4"/>
    <w:rsid w:val="00806477"/>
    <w:rsid w:val="0084639D"/>
    <w:rsid w:val="0086180B"/>
    <w:rsid w:val="0087280C"/>
    <w:rsid w:val="0088169B"/>
    <w:rsid w:val="00897409"/>
    <w:rsid w:val="008B3C54"/>
    <w:rsid w:val="008C4D40"/>
    <w:rsid w:val="008E577A"/>
    <w:rsid w:val="00955E5C"/>
    <w:rsid w:val="00973D20"/>
    <w:rsid w:val="00977040"/>
    <w:rsid w:val="009C59E7"/>
    <w:rsid w:val="009D4BCD"/>
    <w:rsid w:val="009F6BB2"/>
    <w:rsid w:val="00A07706"/>
    <w:rsid w:val="00A141A0"/>
    <w:rsid w:val="00A272AB"/>
    <w:rsid w:val="00A337DB"/>
    <w:rsid w:val="00A52F96"/>
    <w:rsid w:val="00A57BA9"/>
    <w:rsid w:val="00A62D27"/>
    <w:rsid w:val="00A85736"/>
    <w:rsid w:val="00AB47B7"/>
    <w:rsid w:val="00AB52FC"/>
    <w:rsid w:val="00AC482D"/>
    <w:rsid w:val="00AC546C"/>
    <w:rsid w:val="00AE1017"/>
    <w:rsid w:val="00AE7F39"/>
    <w:rsid w:val="00AF0C5E"/>
    <w:rsid w:val="00B01B39"/>
    <w:rsid w:val="00B07FD6"/>
    <w:rsid w:val="00B1073A"/>
    <w:rsid w:val="00B10B5F"/>
    <w:rsid w:val="00B17DCD"/>
    <w:rsid w:val="00B22198"/>
    <w:rsid w:val="00B2295F"/>
    <w:rsid w:val="00B303DC"/>
    <w:rsid w:val="00B30C23"/>
    <w:rsid w:val="00B35610"/>
    <w:rsid w:val="00B451D7"/>
    <w:rsid w:val="00B63C28"/>
    <w:rsid w:val="00B740E7"/>
    <w:rsid w:val="00B77EB5"/>
    <w:rsid w:val="00B92C9B"/>
    <w:rsid w:val="00BB01AC"/>
    <w:rsid w:val="00BB2C1C"/>
    <w:rsid w:val="00C04586"/>
    <w:rsid w:val="00C14B1A"/>
    <w:rsid w:val="00C211E9"/>
    <w:rsid w:val="00C33750"/>
    <w:rsid w:val="00C46856"/>
    <w:rsid w:val="00C65423"/>
    <w:rsid w:val="00C85418"/>
    <w:rsid w:val="00C958FE"/>
    <w:rsid w:val="00CD4005"/>
    <w:rsid w:val="00CE3DD6"/>
    <w:rsid w:val="00D2037D"/>
    <w:rsid w:val="00D23251"/>
    <w:rsid w:val="00D43D3D"/>
    <w:rsid w:val="00D63ADD"/>
    <w:rsid w:val="00D823B6"/>
    <w:rsid w:val="00D82403"/>
    <w:rsid w:val="00D862A2"/>
    <w:rsid w:val="00DC23CE"/>
    <w:rsid w:val="00DC6EF5"/>
    <w:rsid w:val="00DF1664"/>
    <w:rsid w:val="00DF2585"/>
    <w:rsid w:val="00E16F4D"/>
    <w:rsid w:val="00E25755"/>
    <w:rsid w:val="00E65539"/>
    <w:rsid w:val="00E70FEE"/>
    <w:rsid w:val="00E87C99"/>
    <w:rsid w:val="00EA4A57"/>
    <w:rsid w:val="00EC0F42"/>
    <w:rsid w:val="00F25BEC"/>
    <w:rsid w:val="00F337B6"/>
    <w:rsid w:val="00F55339"/>
    <w:rsid w:val="00FA1CD5"/>
    <w:rsid w:val="00FC7938"/>
    <w:rsid w:val="00FE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801B2-A28D-44E8-BF3F-F1BC3BCA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C4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35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5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35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5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CD40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F96"/>
    <w:pPr>
      <w:ind w:left="720"/>
      <w:contextualSpacing/>
    </w:pPr>
  </w:style>
  <w:style w:type="paragraph" w:customStyle="1" w:styleId="Texto">
    <w:name w:val="Texto"/>
    <w:basedOn w:val="Normal"/>
    <w:link w:val="TextoCar"/>
    <w:rsid w:val="00791A3E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791A3E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D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D3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3B7BE-5194-434E-A534-D1066730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oliveras</dc:creator>
  <cp:lastModifiedBy>Adriana Marquez Bobadilla</cp:lastModifiedBy>
  <cp:revision>12</cp:revision>
  <cp:lastPrinted>2018-10-22T14:11:00Z</cp:lastPrinted>
  <dcterms:created xsi:type="dcterms:W3CDTF">2018-09-14T13:33:00Z</dcterms:created>
  <dcterms:modified xsi:type="dcterms:W3CDTF">2018-10-22T14:12:00Z</dcterms:modified>
</cp:coreProperties>
</file>