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9B2" w:rsidRDefault="00A549B2" w:rsidP="00A549B2">
      <w:pPr>
        <w:pStyle w:val="Encabezado"/>
        <w:jc w:val="right"/>
      </w:pPr>
      <w:r w:rsidRPr="009D58F6">
        <w:rPr>
          <w:rFonts w:ascii="Arial" w:hAnsi="Arial" w:cs="Arial"/>
          <w:b/>
          <w:w w:val="200"/>
          <w:sz w:val="18"/>
          <w:szCs w:val="18"/>
        </w:rPr>
        <w:t>Anexo Of. DGP/</w:t>
      </w:r>
      <w:r>
        <w:rPr>
          <w:rFonts w:ascii="Arial" w:hAnsi="Arial" w:cs="Arial"/>
          <w:b/>
          <w:w w:val="200"/>
          <w:sz w:val="18"/>
          <w:szCs w:val="18"/>
        </w:rPr>
        <w:t>0182</w:t>
      </w:r>
      <w:r w:rsidRPr="009D58F6">
        <w:rPr>
          <w:rFonts w:ascii="Arial" w:hAnsi="Arial" w:cs="Arial"/>
          <w:b/>
          <w:w w:val="200"/>
          <w:sz w:val="18"/>
          <w:szCs w:val="18"/>
        </w:rPr>
        <w:t>/1</w:t>
      </w:r>
      <w:r>
        <w:rPr>
          <w:rFonts w:ascii="Arial" w:hAnsi="Arial" w:cs="Arial"/>
          <w:b/>
          <w:w w:val="200"/>
          <w:sz w:val="18"/>
          <w:szCs w:val="18"/>
        </w:rPr>
        <w:t>9</w:t>
      </w:r>
    </w:p>
    <w:p w:rsidR="00A549B2" w:rsidRDefault="00A549B2">
      <w:bookmarkStart w:id="0" w:name="_GoBack"/>
      <w:bookmarkEnd w:id="0"/>
    </w:p>
    <w:p w:rsidR="00A549B2" w:rsidRDefault="00A549B2"/>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1E0" w:firstRow="1" w:lastRow="1" w:firstColumn="1" w:lastColumn="1" w:noHBand="0" w:noVBand="0"/>
      </w:tblPr>
      <w:tblGrid>
        <w:gridCol w:w="10916"/>
      </w:tblGrid>
      <w:tr w:rsidR="00007DA8" w:rsidRPr="00243AA1" w:rsidTr="001A7ED6">
        <w:trPr>
          <w:trHeight w:val="389"/>
        </w:trPr>
        <w:tc>
          <w:tcPr>
            <w:tcW w:w="10916" w:type="dxa"/>
            <w:shd w:val="clear" w:color="auto" w:fill="FBE4D5"/>
          </w:tcPr>
          <w:p w:rsidR="00007DA8" w:rsidRPr="00243AA1" w:rsidRDefault="005674ED" w:rsidP="00742C48">
            <w:pPr>
              <w:ind w:left="-212" w:firstLine="142"/>
              <w:jc w:val="center"/>
              <w:rPr>
                <w:rFonts w:ascii="Arial" w:hAnsi="Arial" w:cs="Arial"/>
                <w:b/>
              </w:rPr>
            </w:pPr>
            <w:r>
              <w:rPr>
                <w:rFonts w:ascii="Arial" w:hAnsi="Arial" w:cs="Arial"/>
                <w:b/>
                <w:sz w:val="28"/>
                <w:szCs w:val="28"/>
              </w:rPr>
              <w:t>ANEXO 6.1</w:t>
            </w:r>
            <w:r w:rsidR="00007DA8">
              <w:rPr>
                <w:rFonts w:ascii="Arial" w:hAnsi="Arial" w:cs="Arial"/>
                <w:b/>
                <w:sz w:val="28"/>
                <w:szCs w:val="28"/>
              </w:rPr>
              <w:t>.</w:t>
            </w:r>
          </w:p>
        </w:tc>
      </w:tr>
      <w:tr w:rsidR="00007DA8" w:rsidRPr="00243AA1" w:rsidTr="00007DA8">
        <w:tblPrEx>
          <w:shd w:val="clear" w:color="auto" w:fill="auto"/>
        </w:tblPrEx>
        <w:trPr>
          <w:trHeight w:val="1833"/>
        </w:trPr>
        <w:tc>
          <w:tcPr>
            <w:tcW w:w="10916" w:type="dxa"/>
          </w:tcPr>
          <w:p w:rsidR="00007DA8" w:rsidRPr="00BE4685" w:rsidRDefault="00007DA8" w:rsidP="00007DA8">
            <w:pPr>
              <w:autoSpaceDE w:val="0"/>
              <w:autoSpaceDN w:val="0"/>
              <w:adjustRightInd w:val="0"/>
              <w:ind w:right="176"/>
              <w:jc w:val="both"/>
              <w:rPr>
                <w:rFonts w:ascii="Arial" w:hAnsi="Arial" w:cs="Arial"/>
                <w:bCs/>
                <w:sz w:val="20"/>
                <w:szCs w:val="20"/>
              </w:rPr>
            </w:pPr>
            <w:r w:rsidRPr="00BE4685">
              <w:rPr>
                <w:rFonts w:ascii="Arial" w:hAnsi="Arial" w:cs="Arial"/>
                <w:b/>
                <w:bCs/>
                <w:sz w:val="20"/>
                <w:szCs w:val="20"/>
              </w:rPr>
              <w:t>6.1.-</w:t>
            </w:r>
            <w:r w:rsidRPr="00BE4685">
              <w:rPr>
                <w:rFonts w:ascii="Arial" w:hAnsi="Arial" w:cs="Arial"/>
                <w:bCs/>
                <w:sz w:val="20"/>
                <w:szCs w:val="20"/>
              </w:rPr>
              <w:t xml:space="preserve"> </w:t>
            </w:r>
            <w:r w:rsidR="00B94BDA">
              <w:rPr>
                <w:rFonts w:ascii="Arial" w:hAnsi="Arial" w:cs="Arial"/>
                <w:bCs/>
                <w:sz w:val="20"/>
                <w:szCs w:val="20"/>
              </w:rPr>
              <w:t>Originalmente sus argumentos no fueron</w:t>
            </w:r>
            <w:r w:rsidRPr="00BE4685">
              <w:rPr>
                <w:rFonts w:ascii="Arial" w:hAnsi="Arial" w:cs="Arial"/>
                <w:bCs/>
                <w:sz w:val="20"/>
                <w:szCs w:val="20"/>
              </w:rPr>
              <w:t xml:space="preserve"> suficientes para solventar la observación, el desapego a la normatividad es evidente, ya que como respuesta para solventar esta observación, el Organismo hace referencia al </w:t>
            </w:r>
            <w:r w:rsidRPr="00BE4685">
              <w:rPr>
                <w:rFonts w:ascii="Arial" w:hAnsi="Arial" w:cs="Arial"/>
                <w:b/>
                <w:bCs/>
                <w:sz w:val="20"/>
                <w:szCs w:val="20"/>
              </w:rPr>
              <w:t>artículo 13 fracción IV</w:t>
            </w:r>
            <w:r w:rsidRPr="00BE4685">
              <w:rPr>
                <w:rFonts w:ascii="Arial" w:hAnsi="Arial" w:cs="Arial"/>
                <w:bCs/>
                <w:sz w:val="20"/>
                <w:szCs w:val="20"/>
              </w:rPr>
              <w:t xml:space="preserve"> de la </w:t>
            </w:r>
            <w:r>
              <w:rPr>
                <w:rFonts w:ascii="Arial" w:hAnsi="Arial" w:cs="Arial"/>
                <w:bCs/>
                <w:sz w:val="20"/>
                <w:szCs w:val="20"/>
              </w:rPr>
              <w:t xml:space="preserve">entonces </w:t>
            </w:r>
            <w:r w:rsidRPr="00BE4685">
              <w:rPr>
                <w:rFonts w:ascii="Arial" w:hAnsi="Arial" w:cs="Arial"/>
                <w:bCs/>
                <w:sz w:val="20"/>
                <w:szCs w:val="20"/>
              </w:rPr>
              <w:t xml:space="preserve">Ley de Adquisiciones y Enajenaciones del Gobierno del Estado de Jalisco el cual señala: </w:t>
            </w:r>
          </w:p>
          <w:p w:rsidR="00007DA8" w:rsidRPr="00BE4685" w:rsidRDefault="00007DA8" w:rsidP="00007DA8">
            <w:pPr>
              <w:autoSpaceDE w:val="0"/>
              <w:autoSpaceDN w:val="0"/>
              <w:adjustRightInd w:val="0"/>
              <w:ind w:right="176"/>
              <w:jc w:val="both"/>
              <w:rPr>
                <w:rFonts w:ascii="Arial" w:hAnsi="Arial" w:cs="Arial"/>
                <w:bCs/>
                <w:sz w:val="20"/>
                <w:szCs w:val="20"/>
              </w:rPr>
            </w:pPr>
            <w:r w:rsidRPr="00BE4685">
              <w:rPr>
                <w:rFonts w:ascii="Arial" w:hAnsi="Arial" w:cs="Arial"/>
                <w:b/>
                <w:bCs/>
                <w:sz w:val="20"/>
                <w:szCs w:val="20"/>
              </w:rPr>
              <w:t>Artículo 13.-</w:t>
            </w:r>
            <w:r w:rsidRPr="00BE4685">
              <w:rPr>
                <w:rFonts w:ascii="Arial" w:hAnsi="Arial" w:cs="Arial"/>
                <w:bCs/>
                <w:sz w:val="20"/>
                <w:szCs w:val="20"/>
              </w:rPr>
              <w:t xml:space="preserve"> Las adquisiciones, arrendamientos y contratación de servicios por adjudicación directa, podrán efectuarse en los siguientes casos: </w:t>
            </w:r>
          </w:p>
          <w:p w:rsidR="00007DA8" w:rsidRPr="00BE4685" w:rsidRDefault="00007DA8" w:rsidP="00007DA8">
            <w:pPr>
              <w:autoSpaceDE w:val="0"/>
              <w:autoSpaceDN w:val="0"/>
              <w:adjustRightInd w:val="0"/>
              <w:ind w:right="176"/>
              <w:jc w:val="both"/>
              <w:rPr>
                <w:rFonts w:ascii="Arial" w:hAnsi="Arial" w:cs="Arial"/>
                <w:bCs/>
                <w:sz w:val="20"/>
                <w:szCs w:val="20"/>
              </w:rPr>
            </w:pPr>
            <w:r w:rsidRPr="00BE4685">
              <w:rPr>
                <w:rFonts w:ascii="Arial" w:hAnsi="Arial" w:cs="Arial"/>
                <w:b/>
                <w:bCs/>
                <w:sz w:val="20"/>
                <w:szCs w:val="20"/>
              </w:rPr>
              <w:t>IV:</w:t>
            </w:r>
            <w:r w:rsidRPr="00BE4685">
              <w:rPr>
                <w:rFonts w:ascii="Arial" w:hAnsi="Arial" w:cs="Arial"/>
                <w:bCs/>
                <w:sz w:val="20"/>
                <w:szCs w:val="20"/>
              </w:rPr>
              <w:t xml:space="preserve"> La contratación de los servicios básicos y complementarios que requieran las secretarias, dependencias y organismos auxiliares </w:t>
            </w:r>
          </w:p>
          <w:p w:rsidR="00007DA8" w:rsidRPr="00BE4685" w:rsidRDefault="00007DA8" w:rsidP="00007DA8">
            <w:pPr>
              <w:tabs>
                <w:tab w:val="left" w:pos="7980"/>
              </w:tabs>
              <w:ind w:right="176"/>
              <w:jc w:val="both"/>
              <w:rPr>
                <w:rFonts w:ascii="Arial" w:hAnsi="Arial" w:cs="Arial"/>
                <w:b/>
                <w:sz w:val="20"/>
                <w:szCs w:val="20"/>
              </w:rPr>
            </w:pPr>
            <w:r w:rsidRPr="00BE4685">
              <w:rPr>
                <w:rFonts w:ascii="Arial" w:hAnsi="Arial" w:cs="Arial"/>
                <w:b/>
                <w:sz w:val="20"/>
                <w:szCs w:val="20"/>
              </w:rPr>
              <w:t>Efectivamente e</w:t>
            </w:r>
            <w:r w:rsidR="001A7ED6">
              <w:rPr>
                <w:rFonts w:ascii="Arial" w:hAnsi="Arial" w:cs="Arial"/>
                <w:b/>
                <w:sz w:val="20"/>
                <w:szCs w:val="20"/>
              </w:rPr>
              <w:t xml:space="preserve">ncontramos elementos que </w:t>
            </w:r>
            <w:r w:rsidR="00F13814">
              <w:rPr>
                <w:rFonts w:ascii="Arial" w:hAnsi="Arial" w:cs="Arial"/>
                <w:b/>
                <w:sz w:val="20"/>
                <w:szCs w:val="20"/>
              </w:rPr>
              <w:t>permiten en su caso</w:t>
            </w:r>
            <w:r w:rsidRPr="00BE4685">
              <w:rPr>
                <w:rFonts w:ascii="Arial" w:hAnsi="Arial" w:cs="Arial"/>
                <w:b/>
                <w:sz w:val="20"/>
                <w:szCs w:val="20"/>
              </w:rPr>
              <w:t xml:space="preserve"> un</w:t>
            </w:r>
            <w:r w:rsidR="00F13814">
              <w:rPr>
                <w:rFonts w:ascii="Arial" w:hAnsi="Arial" w:cs="Arial"/>
                <w:b/>
                <w:sz w:val="20"/>
                <w:szCs w:val="20"/>
              </w:rPr>
              <w:t>a adjudicación directa sin embargo para el caso que nos incumbe</w:t>
            </w:r>
            <w:r w:rsidRPr="00BE4685">
              <w:rPr>
                <w:rFonts w:ascii="Arial" w:hAnsi="Arial" w:cs="Arial"/>
                <w:b/>
                <w:sz w:val="20"/>
                <w:szCs w:val="20"/>
              </w:rPr>
              <w:t xml:space="preserve"> se trata de servicios básicos y complementarios.</w:t>
            </w:r>
          </w:p>
          <w:p w:rsidR="00007DA8" w:rsidRPr="00BE4685" w:rsidRDefault="00007DA8" w:rsidP="00007DA8">
            <w:pPr>
              <w:tabs>
                <w:tab w:val="left" w:pos="7980"/>
              </w:tabs>
              <w:ind w:right="176"/>
              <w:jc w:val="both"/>
              <w:rPr>
                <w:rFonts w:ascii="Arial" w:hAnsi="Arial" w:cs="Arial"/>
                <w:bCs/>
                <w:color w:val="000000"/>
                <w:sz w:val="20"/>
                <w:szCs w:val="20"/>
              </w:rPr>
            </w:pPr>
            <w:r w:rsidRPr="00BE4685">
              <w:rPr>
                <w:rFonts w:ascii="Arial" w:hAnsi="Arial" w:cs="Arial"/>
                <w:sz w:val="20"/>
                <w:szCs w:val="20"/>
              </w:rPr>
              <w:t>Sin embargo el Organismo para subsanar esta situación se compromet</w:t>
            </w:r>
            <w:r w:rsidR="00B94BDA">
              <w:rPr>
                <w:rFonts w:ascii="Arial" w:hAnsi="Arial" w:cs="Arial"/>
                <w:sz w:val="20"/>
                <w:szCs w:val="20"/>
              </w:rPr>
              <w:t>ió</w:t>
            </w:r>
            <w:r w:rsidRPr="00BE4685">
              <w:rPr>
                <w:rFonts w:ascii="Arial" w:hAnsi="Arial" w:cs="Arial"/>
                <w:sz w:val="20"/>
                <w:szCs w:val="20"/>
              </w:rPr>
              <w:t xml:space="preserve"> a que</w:t>
            </w:r>
            <w:r w:rsidRPr="00BE4685">
              <w:rPr>
                <w:rFonts w:ascii="Arial" w:hAnsi="Arial" w:cs="Arial"/>
                <w:bCs/>
                <w:sz w:val="20"/>
                <w:szCs w:val="20"/>
              </w:rPr>
              <w:t xml:space="preserve"> la contratación de prestadores de servicios profesionales se ajustará a lo previsto en la Ley de Compras Gubernamentales, Enajenaciones y Contratación de Servicios del Estado de Jalisco y sus Municipios, y su Reglamento, así como a las políticas, bases, </w:t>
            </w:r>
            <w:r w:rsidRPr="00BE4685">
              <w:rPr>
                <w:rFonts w:ascii="Arial" w:hAnsi="Arial" w:cs="Arial"/>
                <w:bCs/>
                <w:color w:val="000000"/>
                <w:sz w:val="20"/>
                <w:szCs w:val="20"/>
              </w:rPr>
              <w:t>lineamientos y normatividad interna que en su momento se genere dentro de este Fideicomiso, lo cual habrá de realizarse en un plazo no mayor al previsto por el artículo segundo transitorio del Reglamento en cuestión.</w:t>
            </w:r>
          </w:p>
          <w:p w:rsidR="00007DA8" w:rsidRDefault="00007DA8" w:rsidP="00007DA8">
            <w:pPr>
              <w:pStyle w:val="Estilo"/>
              <w:ind w:right="176"/>
              <w:contextualSpacing/>
              <w:rPr>
                <w:sz w:val="20"/>
                <w:szCs w:val="20"/>
              </w:rPr>
            </w:pPr>
            <w:r w:rsidRPr="00BE4685">
              <w:rPr>
                <w:bCs/>
                <w:color w:val="000000"/>
                <w:sz w:val="20"/>
                <w:szCs w:val="20"/>
                <w:lang w:val="es-ES"/>
              </w:rPr>
              <w:t>Adicionalmente, se anexa copia de memorándum DG/45-2017 en donde</w:t>
            </w:r>
            <w:r w:rsidR="00B94BDA">
              <w:rPr>
                <w:bCs/>
                <w:color w:val="000000"/>
                <w:sz w:val="20"/>
                <w:szCs w:val="20"/>
                <w:lang w:val="es-ES"/>
              </w:rPr>
              <w:t xml:space="preserve"> </w:t>
            </w:r>
            <w:r w:rsidRPr="00BE4685">
              <w:rPr>
                <w:bCs/>
                <w:color w:val="000000"/>
                <w:sz w:val="20"/>
                <w:szCs w:val="20"/>
                <w:lang w:val="es-ES"/>
              </w:rPr>
              <w:t>se conminó</w:t>
            </w:r>
            <w:r w:rsidR="00B94BDA">
              <w:rPr>
                <w:bCs/>
                <w:color w:val="000000"/>
                <w:sz w:val="20"/>
                <w:szCs w:val="20"/>
                <w:lang w:val="es-ES"/>
              </w:rPr>
              <w:t xml:space="preserve"> </w:t>
            </w:r>
            <w:r w:rsidRPr="00BE4685">
              <w:rPr>
                <w:bCs/>
                <w:color w:val="000000"/>
                <w:sz w:val="20"/>
                <w:szCs w:val="20"/>
                <w:lang w:val="es-ES"/>
              </w:rPr>
              <w:t xml:space="preserve">a la Dirección de Administración y Finanzas del </w:t>
            </w:r>
            <w:r w:rsidR="001A7ED6" w:rsidRPr="00BE4685">
              <w:rPr>
                <w:bCs/>
                <w:color w:val="000000"/>
                <w:sz w:val="20"/>
                <w:szCs w:val="20"/>
                <w:lang w:val="es-ES"/>
              </w:rPr>
              <w:t>Fideicomiso, a</w:t>
            </w:r>
            <w:r w:rsidRPr="00BE4685">
              <w:rPr>
                <w:bCs/>
                <w:color w:val="000000"/>
                <w:sz w:val="20"/>
                <w:szCs w:val="20"/>
                <w:lang w:val="es-ES"/>
              </w:rPr>
              <w:t xml:space="preserve"> comprometer al personal involucrado en el proceso de adquisiciones a apegarse</w:t>
            </w:r>
            <w:r w:rsidR="00B94BDA">
              <w:rPr>
                <w:bCs/>
                <w:color w:val="000000"/>
                <w:sz w:val="20"/>
                <w:szCs w:val="20"/>
                <w:lang w:val="es-ES"/>
              </w:rPr>
              <w:t xml:space="preserve"> </w:t>
            </w:r>
            <w:r w:rsidRPr="00BE4685">
              <w:rPr>
                <w:bCs/>
                <w:color w:val="000000"/>
                <w:sz w:val="20"/>
                <w:szCs w:val="20"/>
                <w:lang w:val="es-ES"/>
              </w:rPr>
              <w:t>puntualmente tanto a la normativa aplicable, como a la legislación vigente</w:t>
            </w:r>
            <w:r>
              <w:rPr>
                <w:sz w:val="20"/>
                <w:szCs w:val="20"/>
              </w:rPr>
              <w:t>.</w:t>
            </w:r>
          </w:p>
          <w:p w:rsidR="00007DA8" w:rsidRPr="00BE4685" w:rsidRDefault="00007DA8" w:rsidP="00007DA8">
            <w:pPr>
              <w:pStyle w:val="Estilo"/>
              <w:ind w:right="176"/>
              <w:contextualSpacing/>
              <w:rPr>
                <w:bCs/>
                <w:sz w:val="20"/>
                <w:szCs w:val="20"/>
              </w:rPr>
            </w:pPr>
          </w:p>
          <w:p w:rsidR="00007DA8" w:rsidRPr="00B92BFE" w:rsidRDefault="00007DA8" w:rsidP="00007DA8">
            <w:pPr>
              <w:ind w:right="176"/>
              <w:jc w:val="both"/>
              <w:rPr>
                <w:rFonts w:ascii="Arial" w:hAnsi="Arial" w:cs="Arial"/>
                <w:sz w:val="20"/>
                <w:szCs w:val="20"/>
              </w:rPr>
            </w:pPr>
            <w:r w:rsidRPr="00A46F59">
              <w:rPr>
                <w:rFonts w:ascii="Arial" w:hAnsi="Arial" w:cs="Arial"/>
                <w:b/>
              </w:rPr>
              <w:t>Adicionalmente y como consecuencia de la Mesa de Trabajo</w:t>
            </w:r>
            <w:r w:rsidRPr="001A7ED6">
              <w:rPr>
                <w:rFonts w:ascii="Arial" w:hAnsi="Arial" w:cs="Arial"/>
              </w:rPr>
              <w:t xml:space="preserve"> que se tuvo con Personal del </w:t>
            </w:r>
            <w:proofErr w:type="spellStart"/>
            <w:r w:rsidRPr="001A7ED6">
              <w:rPr>
                <w:rFonts w:ascii="Arial" w:hAnsi="Arial" w:cs="Arial"/>
              </w:rPr>
              <w:t>Fojal</w:t>
            </w:r>
            <w:proofErr w:type="spellEnd"/>
            <w:r w:rsidRPr="001A7ED6">
              <w:rPr>
                <w:rFonts w:ascii="Arial" w:hAnsi="Arial" w:cs="Arial"/>
              </w:rPr>
              <w:t>, el día 29 de Junio de 2018</w:t>
            </w:r>
            <w:r w:rsidRPr="00B92BFE">
              <w:rPr>
                <w:rFonts w:ascii="Arial" w:hAnsi="Arial" w:cs="Arial"/>
                <w:b/>
              </w:rPr>
              <w:t xml:space="preserve">, </w:t>
            </w:r>
            <w:r w:rsidRPr="00B92BFE">
              <w:rPr>
                <w:rFonts w:ascii="Arial" w:hAnsi="Arial" w:cs="Arial"/>
              </w:rPr>
              <w:t>nos fue remitida diversa información con el objeto de solventar la observación que nos ocupa</w:t>
            </w:r>
            <w:r w:rsidRPr="00B92BFE">
              <w:rPr>
                <w:rFonts w:ascii="Arial" w:hAnsi="Arial" w:cs="Arial"/>
                <w:sz w:val="20"/>
                <w:szCs w:val="20"/>
              </w:rPr>
              <w:t>.</w:t>
            </w:r>
          </w:p>
          <w:p w:rsidR="00007DA8" w:rsidRPr="00BE4685" w:rsidRDefault="00007DA8" w:rsidP="00007DA8">
            <w:pPr>
              <w:ind w:right="176"/>
              <w:jc w:val="both"/>
              <w:rPr>
                <w:rFonts w:ascii="Arial" w:hAnsi="Arial" w:cs="Arial"/>
                <w:sz w:val="20"/>
                <w:szCs w:val="20"/>
              </w:rPr>
            </w:pPr>
            <w:r w:rsidRPr="00BE4685">
              <w:rPr>
                <w:rFonts w:ascii="Arial" w:hAnsi="Arial" w:cs="Arial"/>
                <w:sz w:val="20"/>
                <w:szCs w:val="20"/>
              </w:rPr>
              <w:t>El Fideicomiso proporcion</w:t>
            </w:r>
            <w:r w:rsidR="00B94BDA">
              <w:rPr>
                <w:rFonts w:ascii="Arial" w:hAnsi="Arial" w:cs="Arial"/>
                <w:sz w:val="20"/>
                <w:szCs w:val="20"/>
              </w:rPr>
              <w:t>ó</w:t>
            </w:r>
            <w:r w:rsidRPr="00BE4685">
              <w:rPr>
                <w:rFonts w:ascii="Arial" w:hAnsi="Arial" w:cs="Arial"/>
                <w:sz w:val="20"/>
                <w:szCs w:val="20"/>
              </w:rPr>
              <w:t xml:space="preserve">  </w:t>
            </w:r>
            <w:r w:rsidRPr="00BE4685">
              <w:rPr>
                <w:rFonts w:ascii="Arial" w:hAnsi="Arial" w:cs="Arial"/>
                <w:b/>
                <w:sz w:val="20"/>
                <w:szCs w:val="20"/>
              </w:rPr>
              <w:t>Acta de la VIII Sesión Ordinaria del Comité Técnico del</w:t>
            </w:r>
            <w:r w:rsidR="00B94BDA">
              <w:rPr>
                <w:rFonts w:ascii="Arial" w:hAnsi="Arial" w:cs="Arial"/>
                <w:b/>
                <w:sz w:val="20"/>
                <w:szCs w:val="20"/>
              </w:rPr>
              <w:t xml:space="preserve"> </w:t>
            </w:r>
            <w:r w:rsidRPr="00BE4685">
              <w:rPr>
                <w:rFonts w:ascii="Arial" w:hAnsi="Arial" w:cs="Arial"/>
                <w:b/>
                <w:sz w:val="20"/>
                <w:szCs w:val="20"/>
              </w:rPr>
              <w:t>Fideicomiso Fondo Jalisco de Fomento Empresarial</w:t>
            </w:r>
            <w:r w:rsidRPr="00BE4685">
              <w:rPr>
                <w:rFonts w:ascii="Arial" w:hAnsi="Arial" w:cs="Arial"/>
                <w:sz w:val="20"/>
                <w:szCs w:val="20"/>
              </w:rPr>
              <w:t xml:space="preserve">  de fecha 08 de diciembre de 2015  en donde  según el acuerdo </w:t>
            </w:r>
            <w:r w:rsidR="00B94BDA">
              <w:rPr>
                <w:rFonts w:ascii="Arial" w:hAnsi="Arial" w:cs="Arial"/>
                <w:b/>
                <w:sz w:val="20"/>
                <w:szCs w:val="20"/>
              </w:rPr>
              <w:t>CT-08/12/15-03</w:t>
            </w:r>
            <w:r w:rsidRPr="00BE4685">
              <w:rPr>
                <w:rFonts w:ascii="Arial" w:hAnsi="Arial" w:cs="Arial"/>
                <w:b/>
                <w:sz w:val="20"/>
                <w:szCs w:val="20"/>
              </w:rPr>
              <w:t xml:space="preserve"> </w:t>
            </w:r>
            <w:r w:rsidRPr="00BE4685">
              <w:rPr>
                <w:rFonts w:ascii="Arial" w:hAnsi="Arial" w:cs="Arial"/>
                <w:sz w:val="20"/>
                <w:szCs w:val="20"/>
              </w:rPr>
              <w:t xml:space="preserve">El Comité Técnico del </w:t>
            </w:r>
            <w:proofErr w:type="spellStart"/>
            <w:r w:rsidRPr="00BE4685">
              <w:rPr>
                <w:rFonts w:ascii="Arial" w:hAnsi="Arial" w:cs="Arial"/>
                <w:sz w:val="20"/>
                <w:szCs w:val="20"/>
              </w:rPr>
              <w:t>Foja</w:t>
            </w:r>
            <w:r w:rsidR="00F13814">
              <w:rPr>
                <w:rFonts w:ascii="Arial" w:hAnsi="Arial" w:cs="Arial"/>
                <w:sz w:val="20"/>
                <w:szCs w:val="20"/>
              </w:rPr>
              <w:t>l</w:t>
            </w:r>
            <w:proofErr w:type="spellEnd"/>
            <w:r w:rsidR="00F13814">
              <w:rPr>
                <w:rFonts w:ascii="Arial" w:hAnsi="Arial" w:cs="Arial"/>
                <w:sz w:val="20"/>
                <w:szCs w:val="20"/>
              </w:rPr>
              <w:t xml:space="preserve"> autoriza de manera unánime la</w:t>
            </w:r>
            <w:r w:rsidRPr="00BE4685">
              <w:rPr>
                <w:rFonts w:ascii="Arial" w:hAnsi="Arial" w:cs="Arial"/>
                <w:sz w:val="20"/>
                <w:szCs w:val="20"/>
              </w:rPr>
              <w:t xml:space="preserve"> implementación del Proceso de Selección y Contratación de los Abogados Externos para la recuperación extrajudicial y judicial de créditos que presentan morosidad en sus pagos a través de la figura de “Contratación de Servicios Profesionales por Honorarios”, e instruye a la Dirección Jurídica para que gestione y lleve a cabo la elaboración, formalización, suscripción y ejecución de todos los actos jurídicos y administrativos necesario para la contratación de los Abogados Externos (personas físicas y morales) que cumplan con los requisitos y criterios establecidos en el proceso descrito en el ocurso de la presente acta.</w:t>
            </w:r>
          </w:p>
          <w:p w:rsidR="00007DA8" w:rsidRDefault="00B94BDA" w:rsidP="00007DA8">
            <w:pPr>
              <w:ind w:right="176"/>
              <w:jc w:val="both"/>
              <w:rPr>
                <w:rFonts w:ascii="Arial" w:hAnsi="Arial" w:cs="Arial"/>
                <w:sz w:val="20"/>
                <w:szCs w:val="20"/>
              </w:rPr>
            </w:pPr>
            <w:r>
              <w:rPr>
                <w:rFonts w:ascii="Arial" w:hAnsi="Arial" w:cs="Arial"/>
                <w:sz w:val="20"/>
                <w:szCs w:val="20"/>
              </w:rPr>
              <w:t xml:space="preserve">FOJAL nos proporcionó </w:t>
            </w:r>
            <w:r w:rsidR="00007DA8" w:rsidRPr="00BE4685">
              <w:rPr>
                <w:rFonts w:ascii="Arial" w:hAnsi="Arial" w:cs="Arial"/>
                <w:sz w:val="20"/>
                <w:szCs w:val="20"/>
              </w:rPr>
              <w:t>evidencia de que ya se está llevando acabó la contratación de estos servicios mediante el procedimiento correspondiente y como prueba de ello nos anexa copia de la Licitación Pública Local</w:t>
            </w:r>
            <w:r w:rsidR="00007DA8">
              <w:rPr>
                <w:rFonts w:ascii="Arial" w:hAnsi="Arial" w:cs="Arial"/>
                <w:sz w:val="20"/>
                <w:szCs w:val="20"/>
              </w:rPr>
              <w:t xml:space="preserve">. </w:t>
            </w:r>
            <w:r w:rsidR="00007DA8" w:rsidRPr="00BE4685">
              <w:rPr>
                <w:rFonts w:ascii="Arial" w:hAnsi="Arial" w:cs="Arial"/>
                <w:b/>
                <w:sz w:val="20"/>
                <w:szCs w:val="20"/>
              </w:rPr>
              <w:t>LPL-04-2018</w:t>
            </w:r>
            <w:r w:rsidR="00007DA8" w:rsidRPr="00BE4685">
              <w:rPr>
                <w:rFonts w:ascii="Arial" w:hAnsi="Arial" w:cs="Arial"/>
                <w:sz w:val="20"/>
                <w:szCs w:val="20"/>
              </w:rPr>
              <w:t xml:space="preserve"> para la “</w:t>
            </w:r>
            <w:r w:rsidR="00007DA8" w:rsidRPr="00BE4685">
              <w:rPr>
                <w:rFonts w:ascii="Arial" w:hAnsi="Arial" w:cs="Arial"/>
                <w:b/>
                <w:sz w:val="20"/>
                <w:szCs w:val="20"/>
              </w:rPr>
              <w:t xml:space="preserve">Contratación de Servicios Profesionales para la asesoría en materia penal y litigación y/o </w:t>
            </w:r>
            <w:proofErr w:type="spellStart"/>
            <w:r w:rsidR="00007DA8" w:rsidRPr="00BE4685">
              <w:rPr>
                <w:rFonts w:ascii="Arial" w:hAnsi="Arial" w:cs="Arial"/>
                <w:b/>
                <w:sz w:val="20"/>
                <w:szCs w:val="20"/>
              </w:rPr>
              <w:t>coadyuvancia</w:t>
            </w:r>
            <w:proofErr w:type="spellEnd"/>
            <w:r w:rsidR="00007DA8" w:rsidRPr="00BE4685">
              <w:rPr>
                <w:rFonts w:ascii="Arial" w:hAnsi="Arial" w:cs="Arial"/>
                <w:b/>
                <w:sz w:val="20"/>
                <w:szCs w:val="20"/>
              </w:rPr>
              <w:t xml:space="preserve"> de averiguaciones previas, indagatorias y juicios penales en los que forma y/o pudiera formar parte el FOJAL”</w:t>
            </w:r>
            <w:r w:rsidR="00007DA8" w:rsidRPr="00BE4685">
              <w:rPr>
                <w:rFonts w:ascii="Arial" w:hAnsi="Arial" w:cs="Arial"/>
                <w:sz w:val="20"/>
                <w:szCs w:val="20"/>
              </w:rPr>
              <w:t>.</w:t>
            </w:r>
          </w:p>
          <w:p w:rsidR="00007DA8" w:rsidRPr="0089387B" w:rsidRDefault="00A46F59" w:rsidP="00007DA8">
            <w:pPr>
              <w:ind w:right="176"/>
              <w:jc w:val="both"/>
              <w:rPr>
                <w:rFonts w:ascii="Arial" w:hAnsi="Arial" w:cs="Arial"/>
                <w:b/>
                <w:sz w:val="20"/>
                <w:szCs w:val="20"/>
              </w:rPr>
            </w:pPr>
            <w:r>
              <w:rPr>
                <w:rFonts w:ascii="Arial" w:hAnsi="Arial" w:cs="Arial"/>
                <w:b/>
                <w:sz w:val="20"/>
                <w:szCs w:val="20"/>
              </w:rPr>
              <w:t>S</w:t>
            </w:r>
            <w:r w:rsidR="00007DA8" w:rsidRPr="001A7ED6">
              <w:rPr>
                <w:rFonts w:ascii="Arial" w:hAnsi="Arial" w:cs="Arial"/>
                <w:b/>
                <w:sz w:val="20"/>
                <w:szCs w:val="20"/>
              </w:rPr>
              <w:t>e solventa</w:t>
            </w:r>
            <w:r>
              <w:rPr>
                <w:rFonts w:ascii="Arial" w:hAnsi="Arial" w:cs="Arial"/>
                <w:b/>
                <w:sz w:val="20"/>
                <w:szCs w:val="20"/>
              </w:rPr>
              <w:t xml:space="preserve"> en virtud de que existe una denuncia por la observación antes descrita, sin embargo se instruye a dar puntual seguimiento del resultado de dicha denuncia; así como de la recuperación del monto erogado al profesionista.</w:t>
            </w:r>
          </w:p>
          <w:p w:rsidR="00007DA8" w:rsidRPr="00243AA1" w:rsidRDefault="00007DA8" w:rsidP="00007DA8">
            <w:pPr>
              <w:ind w:right="176"/>
              <w:jc w:val="both"/>
              <w:rPr>
                <w:rFonts w:ascii="Arial" w:hAnsi="Arial" w:cs="Arial"/>
                <w:sz w:val="20"/>
                <w:szCs w:val="20"/>
              </w:rPr>
            </w:pPr>
          </w:p>
        </w:tc>
      </w:tr>
    </w:tbl>
    <w:p w:rsidR="00007DA8" w:rsidRPr="00ED45B4" w:rsidRDefault="00007DA8" w:rsidP="00007DA8">
      <w:pPr>
        <w:ind w:right="-801"/>
        <w:jc w:val="both"/>
        <w:rPr>
          <w:rFonts w:ascii="Arial" w:hAnsi="Arial" w:cs="Arial"/>
          <w:b/>
          <w:bCs/>
          <w:sz w:val="20"/>
          <w:szCs w:val="20"/>
        </w:rPr>
      </w:pPr>
    </w:p>
    <w:sectPr w:rsidR="00007DA8" w:rsidRPr="00ED45B4" w:rsidSect="00B54BF2">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DBF" w:rsidRDefault="00897DBF" w:rsidP="00B54BF2">
      <w:pPr>
        <w:spacing w:after="0" w:line="240" w:lineRule="auto"/>
      </w:pPr>
      <w:r>
        <w:separator/>
      </w:r>
    </w:p>
  </w:endnote>
  <w:endnote w:type="continuationSeparator" w:id="0">
    <w:p w:rsidR="00897DBF" w:rsidRDefault="00897DBF" w:rsidP="00B5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DBF" w:rsidRDefault="00897DBF" w:rsidP="00B54BF2">
      <w:pPr>
        <w:spacing w:after="0" w:line="240" w:lineRule="auto"/>
      </w:pPr>
      <w:r>
        <w:separator/>
      </w:r>
    </w:p>
  </w:footnote>
  <w:footnote w:type="continuationSeparator" w:id="0">
    <w:p w:rsidR="00897DBF" w:rsidRDefault="00897DBF" w:rsidP="00B54B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22C31"/>
    <w:rsid w:val="000040C3"/>
    <w:rsid w:val="0000622D"/>
    <w:rsid w:val="00007DA8"/>
    <w:rsid w:val="00011CEF"/>
    <w:rsid w:val="00022C31"/>
    <w:rsid w:val="00025ACC"/>
    <w:rsid w:val="00030F2F"/>
    <w:rsid w:val="00032920"/>
    <w:rsid w:val="00033A60"/>
    <w:rsid w:val="00051F46"/>
    <w:rsid w:val="000526D6"/>
    <w:rsid w:val="0005416A"/>
    <w:rsid w:val="000707DE"/>
    <w:rsid w:val="00070EC1"/>
    <w:rsid w:val="0009245B"/>
    <w:rsid w:val="000947C1"/>
    <w:rsid w:val="0009555A"/>
    <w:rsid w:val="000B6376"/>
    <w:rsid w:val="000B7FE7"/>
    <w:rsid w:val="000C0C27"/>
    <w:rsid w:val="000C14DD"/>
    <w:rsid w:val="000C2A7F"/>
    <w:rsid w:val="000C65A4"/>
    <w:rsid w:val="000D2566"/>
    <w:rsid w:val="000D67AD"/>
    <w:rsid w:val="000E447D"/>
    <w:rsid w:val="000E66C2"/>
    <w:rsid w:val="000F50CD"/>
    <w:rsid w:val="00113E81"/>
    <w:rsid w:val="00133976"/>
    <w:rsid w:val="0013507F"/>
    <w:rsid w:val="001354B6"/>
    <w:rsid w:val="00156DCB"/>
    <w:rsid w:val="001633B5"/>
    <w:rsid w:val="0016642C"/>
    <w:rsid w:val="00167886"/>
    <w:rsid w:val="00172FE0"/>
    <w:rsid w:val="00176011"/>
    <w:rsid w:val="00180E8E"/>
    <w:rsid w:val="00182890"/>
    <w:rsid w:val="001830EA"/>
    <w:rsid w:val="00185B0A"/>
    <w:rsid w:val="00185C0E"/>
    <w:rsid w:val="001A32DA"/>
    <w:rsid w:val="001A46DD"/>
    <w:rsid w:val="001A6895"/>
    <w:rsid w:val="001A6DA5"/>
    <w:rsid w:val="001A7ED6"/>
    <w:rsid w:val="001B7FFC"/>
    <w:rsid w:val="001C17B6"/>
    <w:rsid w:val="001C5226"/>
    <w:rsid w:val="001E01DE"/>
    <w:rsid w:val="001E5839"/>
    <w:rsid w:val="001E5979"/>
    <w:rsid w:val="001F223E"/>
    <w:rsid w:val="001F6442"/>
    <w:rsid w:val="001F690D"/>
    <w:rsid w:val="00210914"/>
    <w:rsid w:val="00211F8F"/>
    <w:rsid w:val="00215130"/>
    <w:rsid w:val="00217E91"/>
    <w:rsid w:val="00221285"/>
    <w:rsid w:val="002223DD"/>
    <w:rsid w:val="00225006"/>
    <w:rsid w:val="00231B3D"/>
    <w:rsid w:val="002405D3"/>
    <w:rsid w:val="0025410B"/>
    <w:rsid w:val="00264142"/>
    <w:rsid w:val="002745F5"/>
    <w:rsid w:val="00275832"/>
    <w:rsid w:val="0027662B"/>
    <w:rsid w:val="00296070"/>
    <w:rsid w:val="002966B6"/>
    <w:rsid w:val="002A39A5"/>
    <w:rsid w:val="002C357A"/>
    <w:rsid w:val="002D6761"/>
    <w:rsid w:val="002E0F4D"/>
    <w:rsid w:val="002E4EB4"/>
    <w:rsid w:val="00304B7A"/>
    <w:rsid w:val="003103EB"/>
    <w:rsid w:val="00311D49"/>
    <w:rsid w:val="00313213"/>
    <w:rsid w:val="00322A26"/>
    <w:rsid w:val="00325369"/>
    <w:rsid w:val="00330421"/>
    <w:rsid w:val="003312C7"/>
    <w:rsid w:val="003361A2"/>
    <w:rsid w:val="00340777"/>
    <w:rsid w:val="00340E45"/>
    <w:rsid w:val="003419B5"/>
    <w:rsid w:val="00343889"/>
    <w:rsid w:val="003471B7"/>
    <w:rsid w:val="003527FF"/>
    <w:rsid w:val="00361AEC"/>
    <w:rsid w:val="00364E04"/>
    <w:rsid w:val="00365F49"/>
    <w:rsid w:val="003664CD"/>
    <w:rsid w:val="0037496F"/>
    <w:rsid w:val="0037589D"/>
    <w:rsid w:val="0037706B"/>
    <w:rsid w:val="00381E3C"/>
    <w:rsid w:val="00383E6E"/>
    <w:rsid w:val="003933E7"/>
    <w:rsid w:val="003A19E1"/>
    <w:rsid w:val="003A4668"/>
    <w:rsid w:val="003B1B71"/>
    <w:rsid w:val="003B75A3"/>
    <w:rsid w:val="003C20C3"/>
    <w:rsid w:val="003F3AB0"/>
    <w:rsid w:val="00400196"/>
    <w:rsid w:val="00405B00"/>
    <w:rsid w:val="004067B0"/>
    <w:rsid w:val="00416F17"/>
    <w:rsid w:val="0044300C"/>
    <w:rsid w:val="00454461"/>
    <w:rsid w:val="00457396"/>
    <w:rsid w:val="00457A2F"/>
    <w:rsid w:val="00465167"/>
    <w:rsid w:val="0048616B"/>
    <w:rsid w:val="0048648B"/>
    <w:rsid w:val="004A1970"/>
    <w:rsid w:val="004A462E"/>
    <w:rsid w:val="004B6220"/>
    <w:rsid w:val="004B652D"/>
    <w:rsid w:val="004E6E06"/>
    <w:rsid w:val="004F3ED1"/>
    <w:rsid w:val="004F490F"/>
    <w:rsid w:val="004F4A77"/>
    <w:rsid w:val="004F4DD8"/>
    <w:rsid w:val="004F524B"/>
    <w:rsid w:val="004F7E05"/>
    <w:rsid w:val="005034D9"/>
    <w:rsid w:val="00506B20"/>
    <w:rsid w:val="005124CA"/>
    <w:rsid w:val="00513D62"/>
    <w:rsid w:val="00515447"/>
    <w:rsid w:val="00523B6B"/>
    <w:rsid w:val="005260D9"/>
    <w:rsid w:val="0053208F"/>
    <w:rsid w:val="0053220C"/>
    <w:rsid w:val="00533461"/>
    <w:rsid w:val="00537B38"/>
    <w:rsid w:val="00552F40"/>
    <w:rsid w:val="005537AF"/>
    <w:rsid w:val="00554EFF"/>
    <w:rsid w:val="00561F6E"/>
    <w:rsid w:val="0056493E"/>
    <w:rsid w:val="00564E29"/>
    <w:rsid w:val="005674ED"/>
    <w:rsid w:val="00577428"/>
    <w:rsid w:val="00580517"/>
    <w:rsid w:val="00581CDF"/>
    <w:rsid w:val="0058371C"/>
    <w:rsid w:val="00586D7B"/>
    <w:rsid w:val="00591F8D"/>
    <w:rsid w:val="005A79E2"/>
    <w:rsid w:val="005D342D"/>
    <w:rsid w:val="005D6E2F"/>
    <w:rsid w:val="005E39A0"/>
    <w:rsid w:val="005F3405"/>
    <w:rsid w:val="00610E40"/>
    <w:rsid w:val="00611D8A"/>
    <w:rsid w:val="006140B8"/>
    <w:rsid w:val="00616C90"/>
    <w:rsid w:val="00617944"/>
    <w:rsid w:val="0065009F"/>
    <w:rsid w:val="00656DB4"/>
    <w:rsid w:val="006636A5"/>
    <w:rsid w:val="00673970"/>
    <w:rsid w:val="00687087"/>
    <w:rsid w:val="0068797D"/>
    <w:rsid w:val="0069026C"/>
    <w:rsid w:val="006A2B15"/>
    <w:rsid w:val="006A6972"/>
    <w:rsid w:val="006A7643"/>
    <w:rsid w:val="006B2E73"/>
    <w:rsid w:val="006B3377"/>
    <w:rsid w:val="006D3DD0"/>
    <w:rsid w:val="006D4EBE"/>
    <w:rsid w:val="006D5363"/>
    <w:rsid w:val="006E10E8"/>
    <w:rsid w:val="006E490E"/>
    <w:rsid w:val="006E5B59"/>
    <w:rsid w:val="006E78CE"/>
    <w:rsid w:val="006F1EBA"/>
    <w:rsid w:val="006F308D"/>
    <w:rsid w:val="006F78BE"/>
    <w:rsid w:val="00706AF4"/>
    <w:rsid w:val="007121ED"/>
    <w:rsid w:val="007167EA"/>
    <w:rsid w:val="00716EC8"/>
    <w:rsid w:val="00720DB2"/>
    <w:rsid w:val="007235E0"/>
    <w:rsid w:val="00725590"/>
    <w:rsid w:val="0073005C"/>
    <w:rsid w:val="007575E9"/>
    <w:rsid w:val="0079095B"/>
    <w:rsid w:val="007967DD"/>
    <w:rsid w:val="007A77B9"/>
    <w:rsid w:val="007B032F"/>
    <w:rsid w:val="007B41DA"/>
    <w:rsid w:val="007B469C"/>
    <w:rsid w:val="007C1934"/>
    <w:rsid w:val="007F61E8"/>
    <w:rsid w:val="00803290"/>
    <w:rsid w:val="00805CE7"/>
    <w:rsid w:val="00806D8D"/>
    <w:rsid w:val="00824AB9"/>
    <w:rsid w:val="0082572E"/>
    <w:rsid w:val="00851692"/>
    <w:rsid w:val="00860704"/>
    <w:rsid w:val="008623D4"/>
    <w:rsid w:val="008648FC"/>
    <w:rsid w:val="00872846"/>
    <w:rsid w:val="0089387B"/>
    <w:rsid w:val="00897DBF"/>
    <w:rsid w:val="008A22C3"/>
    <w:rsid w:val="008A3359"/>
    <w:rsid w:val="008A3F82"/>
    <w:rsid w:val="008B5528"/>
    <w:rsid w:val="008D7C48"/>
    <w:rsid w:val="008E362E"/>
    <w:rsid w:val="008F198B"/>
    <w:rsid w:val="008F5DC5"/>
    <w:rsid w:val="008F7D4B"/>
    <w:rsid w:val="00900CFF"/>
    <w:rsid w:val="00903413"/>
    <w:rsid w:val="0090730B"/>
    <w:rsid w:val="00925F85"/>
    <w:rsid w:val="00963BEE"/>
    <w:rsid w:val="00964CC0"/>
    <w:rsid w:val="009703E7"/>
    <w:rsid w:val="00976DED"/>
    <w:rsid w:val="00981C4E"/>
    <w:rsid w:val="00984856"/>
    <w:rsid w:val="00985016"/>
    <w:rsid w:val="00994EBD"/>
    <w:rsid w:val="009A2201"/>
    <w:rsid w:val="009A680C"/>
    <w:rsid w:val="009B324B"/>
    <w:rsid w:val="009B7156"/>
    <w:rsid w:val="009C0D97"/>
    <w:rsid w:val="009D0779"/>
    <w:rsid w:val="009D1C14"/>
    <w:rsid w:val="009D6A1B"/>
    <w:rsid w:val="009E302B"/>
    <w:rsid w:val="009E4710"/>
    <w:rsid w:val="009F26EC"/>
    <w:rsid w:val="00A01332"/>
    <w:rsid w:val="00A05AB8"/>
    <w:rsid w:val="00A074B2"/>
    <w:rsid w:val="00A11FE5"/>
    <w:rsid w:val="00A21F36"/>
    <w:rsid w:val="00A25A7D"/>
    <w:rsid w:val="00A3762A"/>
    <w:rsid w:val="00A40DB3"/>
    <w:rsid w:val="00A46F59"/>
    <w:rsid w:val="00A51970"/>
    <w:rsid w:val="00A51A32"/>
    <w:rsid w:val="00A549B2"/>
    <w:rsid w:val="00A55192"/>
    <w:rsid w:val="00A5749F"/>
    <w:rsid w:val="00A61B80"/>
    <w:rsid w:val="00A63B4B"/>
    <w:rsid w:val="00A64C37"/>
    <w:rsid w:val="00A66CE1"/>
    <w:rsid w:val="00A71327"/>
    <w:rsid w:val="00A82E10"/>
    <w:rsid w:val="00A8716C"/>
    <w:rsid w:val="00A93828"/>
    <w:rsid w:val="00AA0355"/>
    <w:rsid w:val="00AC1D2D"/>
    <w:rsid w:val="00AD3434"/>
    <w:rsid w:val="00AF3444"/>
    <w:rsid w:val="00B0089A"/>
    <w:rsid w:val="00B02C53"/>
    <w:rsid w:val="00B110CE"/>
    <w:rsid w:val="00B12C2D"/>
    <w:rsid w:val="00B14D2E"/>
    <w:rsid w:val="00B213A3"/>
    <w:rsid w:val="00B46F14"/>
    <w:rsid w:val="00B51940"/>
    <w:rsid w:val="00B54003"/>
    <w:rsid w:val="00B549FC"/>
    <w:rsid w:val="00B54BF2"/>
    <w:rsid w:val="00B54E87"/>
    <w:rsid w:val="00B65CC3"/>
    <w:rsid w:val="00B77C90"/>
    <w:rsid w:val="00B92BFE"/>
    <w:rsid w:val="00B94BDA"/>
    <w:rsid w:val="00B95750"/>
    <w:rsid w:val="00B958D9"/>
    <w:rsid w:val="00BA3772"/>
    <w:rsid w:val="00BA39A5"/>
    <w:rsid w:val="00BA5E48"/>
    <w:rsid w:val="00BA5EDA"/>
    <w:rsid w:val="00BB0CEB"/>
    <w:rsid w:val="00BB1FEB"/>
    <w:rsid w:val="00BC5685"/>
    <w:rsid w:val="00BE4685"/>
    <w:rsid w:val="00BE7432"/>
    <w:rsid w:val="00C1614D"/>
    <w:rsid w:val="00C22B4A"/>
    <w:rsid w:val="00C277D8"/>
    <w:rsid w:val="00C43214"/>
    <w:rsid w:val="00C4735F"/>
    <w:rsid w:val="00C526A5"/>
    <w:rsid w:val="00C60531"/>
    <w:rsid w:val="00C6594B"/>
    <w:rsid w:val="00C71528"/>
    <w:rsid w:val="00C7219F"/>
    <w:rsid w:val="00C765E2"/>
    <w:rsid w:val="00C808C6"/>
    <w:rsid w:val="00CA34BA"/>
    <w:rsid w:val="00CB15E4"/>
    <w:rsid w:val="00CC6711"/>
    <w:rsid w:val="00CC7E0F"/>
    <w:rsid w:val="00CD1615"/>
    <w:rsid w:val="00CF482F"/>
    <w:rsid w:val="00D0077D"/>
    <w:rsid w:val="00D0304B"/>
    <w:rsid w:val="00D12420"/>
    <w:rsid w:val="00D13D28"/>
    <w:rsid w:val="00D238C6"/>
    <w:rsid w:val="00D277FC"/>
    <w:rsid w:val="00D429B8"/>
    <w:rsid w:val="00D45D64"/>
    <w:rsid w:val="00D46EA9"/>
    <w:rsid w:val="00D50EAF"/>
    <w:rsid w:val="00D55EEB"/>
    <w:rsid w:val="00D719A5"/>
    <w:rsid w:val="00D93AF3"/>
    <w:rsid w:val="00DA22FC"/>
    <w:rsid w:val="00DA2EEF"/>
    <w:rsid w:val="00DA6F66"/>
    <w:rsid w:val="00DB7048"/>
    <w:rsid w:val="00DC0017"/>
    <w:rsid w:val="00DC0D56"/>
    <w:rsid w:val="00DC21D5"/>
    <w:rsid w:val="00DC356B"/>
    <w:rsid w:val="00DD14F8"/>
    <w:rsid w:val="00DD6D27"/>
    <w:rsid w:val="00DE0C59"/>
    <w:rsid w:val="00DE248D"/>
    <w:rsid w:val="00DE2C4A"/>
    <w:rsid w:val="00DE5C50"/>
    <w:rsid w:val="00DF67D1"/>
    <w:rsid w:val="00E1057A"/>
    <w:rsid w:val="00E109AD"/>
    <w:rsid w:val="00E16A9F"/>
    <w:rsid w:val="00E22758"/>
    <w:rsid w:val="00E32036"/>
    <w:rsid w:val="00E525D1"/>
    <w:rsid w:val="00E60590"/>
    <w:rsid w:val="00E656CF"/>
    <w:rsid w:val="00E67B60"/>
    <w:rsid w:val="00E8494B"/>
    <w:rsid w:val="00E86DB0"/>
    <w:rsid w:val="00E91E58"/>
    <w:rsid w:val="00E92EFA"/>
    <w:rsid w:val="00EA292E"/>
    <w:rsid w:val="00EB0318"/>
    <w:rsid w:val="00EC5283"/>
    <w:rsid w:val="00EC7864"/>
    <w:rsid w:val="00ED0749"/>
    <w:rsid w:val="00ED1318"/>
    <w:rsid w:val="00ED1828"/>
    <w:rsid w:val="00ED45B4"/>
    <w:rsid w:val="00ED4BBF"/>
    <w:rsid w:val="00EE065C"/>
    <w:rsid w:val="00EF3FB4"/>
    <w:rsid w:val="00F1192E"/>
    <w:rsid w:val="00F13814"/>
    <w:rsid w:val="00F15AA7"/>
    <w:rsid w:val="00F17496"/>
    <w:rsid w:val="00F25567"/>
    <w:rsid w:val="00F26197"/>
    <w:rsid w:val="00F30CFA"/>
    <w:rsid w:val="00F37F60"/>
    <w:rsid w:val="00F44349"/>
    <w:rsid w:val="00F57810"/>
    <w:rsid w:val="00F650EB"/>
    <w:rsid w:val="00F70FC1"/>
    <w:rsid w:val="00F84B64"/>
    <w:rsid w:val="00F94FD1"/>
    <w:rsid w:val="00F97A88"/>
    <w:rsid w:val="00FB4225"/>
    <w:rsid w:val="00FC28B0"/>
    <w:rsid w:val="00FD56C1"/>
    <w:rsid w:val="00FF6E45"/>
    <w:rsid w:val="00FF774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8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22C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2C31"/>
    <w:rPr>
      <w:rFonts w:ascii="Tahoma" w:hAnsi="Tahoma" w:cs="Tahoma"/>
      <w:sz w:val="16"/>
      <w:szCs w:val="16"/>
    </w:rPr>
  </w:style>
  <w:style w:type="paragraph" w:styleId="Prrafodelista">
    <w:name w:val="List Paragraph"/>
    <w:basedOn w:val="Normal"/>
    <w:uiPriority w:val="34"/>
    <w:qFormat/>
    <w:rsid w:val="006A2B15"/>
    <w:pPr>
      <w:ind w:left="720"/>
      <w:contextualSpacing/>
    </w:pPr>
  </w:style>
  <w:style w:type="table" w:styleId="Tablaconcuadrcula">
    <w:name w:val="Table Grid"/>
    <w:basedOn w:val="Tablanormal"/>
    <w:rsid w:val="00B14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B54BF2"/>
    <w:pPr>
      <w:tabs>
        <w:tab w:val="center" w:pos="4419"/>
        <w:tab w:val="right" w:pos="8838"/>
      </w:tabs>
      <w:spacing w:after="0" w:line="240" w:lineRule="auto"/>
    </w:pPr>
  </w:style>
  <w:style w:type="character" w:customStyle="1" w:styleId="EncabezadoCar">
    <w:name w:val="Encabezado Car"/>
    <w:basedOn w:val="Fuentedeprrafopredeter"/>
    <w:link w:val="Encabezado"/>
    <w:rsid w:val="00B54BF2"/>
    <w:rPr>
      <w:sz w:val="22"/>
      <w:szCs w:val="22"/>
      <w:lang w:eastAsia="en-US"/>
    </w:rPr>
  </w:style>
  <w:style w:type="paragraph" w:styleId="Piedepgina">
    <w:name w:val="footer"/>
    <w:basedOn w:val="Normal"/>
    <w:link w:val="PiedepginaCar"/>
    <w:uiPriority w:val="99"/>
    <w:unhideWhenUsed/>
    <w:rsid w:val="00B54B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4BF2"/>
    <w:rPr>
      <w:sz w:val="22"/>
      <w:szCs w:val="22"/>
      <w:lang w:eastAsia="en-US"/>
    </w:rPr>
  </w:style>
  <w:style w:type="paragraph" w:customStyle="1" w:styleId="Estilo">
    <w:name w:val="Estilo"/>
    <w:basedOn w:val="Sinespaciado"/>
    <w:link w:val="EstiloCar"/>
    <w:qFormat/>
    <w:rsid w:val="001E01DE"/>
    <w:pPr>
      <w:jc w:val="both"/>
    </w:pPr>
    <w:rPr>
      <w:rFonts w:ascii="Arial" w:hAnsi="Arial" w:cs="Arial"/>
      <w:sz w:val="24"/>
      <w:szCs w:val="24"/>
    </w:rPr>
  </w:style>
  <w:style w:type="character" w:customStyle="1" w:styleId="EstiloCar">
    <w:name w:val="Estilo Car"/>
    <w:link w:val="Estilo"/>
    <w:locked/>
    <w:rsid w:val="001E01DE"/>
    <w:rPr>
      <w:rFonts w:ascii="Arial" w:hAnsi="Arial" w:cs="Arial"/>
      <w:sz w:val="24"/>
      <w:szCs w:val="24"/>
      <w:lang w:eastAsia="en-US"/>
    </w:rPr>
  </w:style>
  <w:style w:type="paragraph" w:styleId="Sinespaciado">
    <w:name w:val="No Spacing"/>
    <w:uiPriority w:val="1"/>
    <w:qFormat/>
    <w:rsid w:val="001E01D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533</Words>
  <Characters>2933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Javelazquezm</dc:creator>
  <cp:lastModifiedBy>Angelina Paniagua</cp:lastModifiedBy>
  <cp:revision>7</cp:revision>
  <cp:lastPrinted>2019-01-17T20:30:00Z</cp:lastPrinted>
  <dcterms:created xsi:type="dcterms:W3CDTF">2019-01-15T18:52:00Z</dcterms:created>
  <dcterms:modified xsi:type="dcterms:W3CDTF">2019-01-17T20:30:00Z</dcterms:modified>
</cp:coreProperties>
</file>