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87D" w:rsidRPr="0011373E" w:rsidRDefault="00B2687D" w:rsidP="00AA4EE0">
      <w:pPr>
        <w:rPr>
          <w:rFonts w:cs="Arial"/>
          <w:bCs/>
        </w:rPr>
      </w:pPr>
    </w:p>
    <w:p w:rsidR="00BD6EC1" w:rsidRDefault="00317384" w:rsidP="007C7C19">
      <w:pPr>
        <w:jc w:val="both"/>
        <w:rPr>
          <w:rFonts w:ascii="Arial" w:hAnsi="Arial" w:cs="Arial"/>
          <w:b/>
          <w:bCs/>
        </w:rPr>
      </w:pPr>
      <w:r>
        <w:rPr>
          <w:rFonts w:ascii="Arial" w:hAnsi="Arial" w:cs="Arial"/>
          <w:b/>
          <w:bCs/>
        </w:rPr>
        <w:t>No solventada</w:t>
      </w:r>
      <w:r w:rsidR="00281C49">
        <w:rPr>
          <w:rFonts w:ascii="Arial" w:hAnsi="Arial" w:cs="Arial"/>
          <w:b/>
          <w:bCs/>
        </w:rPr>
        <w:t>s</w:t>
      </w:r>
    </w:p>
    <w:p w:rsidR="00DB6004" w:rsidRPr="00FB37F0" w:rsidRDefault="00422789" w:rsidP="007C7C19">
      <w:pPr>
        <w:jc w:val="both"/>
        <w:rPr>
          <w:rFonts w:ascii="Arial" w:hAnsi="Arial" w:cs="Arial"/>
          <w:bCs/>
        </w:rPr>
      </w:pPr>
      <w:r>
        <w:rPr>
          <w:rFonts w:ascii="Arial" w:hAnsi="Arial" w:cs="Arial"/>
          <w:b/>
          <w:bCs/>
        </w:rPr>
        <w:t xml:space="preserve">2.1. </w:t>
      </w:r>
      <w:r w:rsidR="00620578">
        <w:rPr>
          <w:rFonts w:ascii="Arial" w:hAnsi="Arial" w:cs="Arial"/>
          <w:b/>
          <w:bCs/>
        </w:rPr>
        <w:t xml:space="preserve"> </w:t>
      </w:r>
      <w:r>
        <w:rPr>
          <w:rFonts w:ascii="Arial" w:hAnsi="Arial" w:cs="Arial"/>
          <w:bCs/>
        </w:rPr>
        <w:t xml:space="preserve">No </w:t>
      </w:r>
      <w:r w:rsidR="00620578">
        <w:rPr>
          <w:rFonts w:ascii="Arial" w:hAnsi="Arial" w:cs="Arial"/>
          <w:bCs/>
        </w:rPr>
        <w:t xml:space="preserve">es </w:t>
      </w:r>
      <w:r w:rsidR="00FB37F0">
        <w:rPr>
          <w:rFonts w:ascii="Arial" w:hAnsi="Arial" w:cs="Arial"/>
          <w:bCs/>
        </w:rPr>
        <w:t>suficiente</w:t>
      </w:r>
      <w:r w:rsidR="00620578">
        <w:rPr>
          <w:rFonts w:ascii="Arial" w:hAnsi="Arial" w:cs="Arial"/>
          <w:bCs/>
        </w:rPr>
        <w:t xml:space="preserve"> lo manifestado por </w:t>
      </w:r>
      <w:r w:rsidR="00FB37F0">
        <w:rPr>
          <w:rFonts w:ascii="Arial" w:hAnsi="Arial" w:cs="Arial"/>
          <w:bCs/>
        </w:rPr>
        <w:t>el Organismo</w:t>
      </w:r>
      <w:r w:rsidR="009B34CE">
        <w:rPr>
          <w:rFonts w:ascii="Arial" w:hAnsi="Arial" w:cs="Arial"/>
          <w:bCs/>
        </w:rPr>
        <w:t xml:space="preserve">, </w:t>
      </w:r>
      <w:r w:rsidR="00FB37F0">
        <w:rPr>
          <w:rFonts w:ascii="Arial" w:hAnsi="Arial" w:cs="Arial"/>
          <w:bCs/>
        </w:rPr>
        <w:t xml:space="preserve">ya que no se envió </w:t>
      </w:r>
      <w:r w:rsidR="007F46FE" w:rsidRPr="00DB6004">
        <w:rPr>
          <w:rFonts w:ascii="Arial" w:hAnsi="Arial" w:cs="Arial"/>
          <w:bCs/>
        </w:rPr>
        <w:t xml:space="preserve">el comprobante del gasto “alimentación posada” </w:t>
      </w:r>
      <w:r w:rsidR="00DB6004" w:rsidRPr="00DB6004">
        <w:rPr>
          <w:rFonts w:ascii="Arial" w:hAnsi="Arial" w:cs="Arial"/>
          <w:bCs/>
        </w:rPr>
        <w:t xml:space="preserve">por </w:t>
      </w:r>
      <w:r w:rsidR="007F46FE" w:rsidRPr="00DB6004">
        <w:rPr>
          <w:rFonts w:ascii="Arial" w:hAnsi="Arial" w:cs="Arial"/>
        </w:rPr>
        <w:t>$</w:t>
      </w:r>
      <w:r w:rsidR="00DB6004" w:rsidRPr="00DB6004">
        <w:rPr>
          <w:rFonts w:ascii="Arial" w:hAnsi="Arial" w:cs="Arial"/>
        </w:rPr>
        <w:t>11,121.50 así como la</w:t>
      </w:r>
      <w:r w:rsidR="00DB6004">
        <w:rPr>
          <w:rFonts w:ascii="Arial" w:hAnsi="Arial" w:cs="Arial"/>
        </w:rPr>
        <w:t xml:space="preserve"> </w:t>
      </w:r>
      <w:r w:rsidR="00DB6004" w:rsidRPr="00DB6004">
        <w:rPr>
          <w:rFonts w:ascii="Arial" w:hAnsi="Arial" w:cs="Arial"/>
          <w:u w:val="single"/>
        </w:rPr>
        <w:t>póliza autorizada</w:t>
      </w:r>
      <w:r w:rsidR="00DB6004" w:rsidRPr="00DB6004">
        <w:rPr>
          <w:rFonts w:ascii="Arial" w:hAnsi="Arial" w:cs="Arial"/>
        </w:rPr>
        <w:t xml:space="preserve"> </w:t>
      </w:r>
      <w:r w:rsidR="00566590">
        <w:rPr>
          <w:rFonts w:ascii="Arial" w:hAnsi="Arial" w:cs="Arial"/>
        </w:rPr>
        <w:t xml:space="preserve">por la autoridad correspondiente </w:t>
      </w:r>
      <w:r w:rsidR="00DB6004" w:rsidRPr="00DB6004">
        <w:rPr>
          <w:rFonts w:ascii="Arial" w:hAnsi="Arial" w:cs="Arial"/>
        </w:rPr>
        <w:t>para afectar a resultados de ejercicios ante</w:t>
      </w:r>
      <w:r w:rsidR="00DB6004">
        <w:rPr>
          <w:rFonts w:ascii="Arial" w:hAnsi="Arial" w:cs="Arial"/>
        </w:rPr>
        <w:t>riores con</w:t>
      </w:r>
      <w:r w:rsidR="00DB6004" w:rsidRPr="00DB6004">
        <w:rPr>
          <w:rFonts w:ascii="Arial" w:hAnsi="Arial" w:cs="Arial"/>
        </w:rPr>
        <w:t xml:space="preserve"> el fin de conciliar saldos de bancos contra libros</w:t>
      </w:r>
      <w:r w:rsidR="00566590">
        <w:rPr>
          <w:rFonts w:ascii="Arial" w:hAnsi="Arial" w:cs="Arial"/>
        </w:rPr>
        <w:t>.</w:t>
      </w:r>
    </w:p>
    <w:p w:rsidR="00566590" w:rsidRDefault="00566590" w:rsidP="007C7C19">
      <w:pPr>
        <w:jc w:val="both"/>
        <w:rPr>
          <w:rFonts w:ascii="Arial" w:hAnsi="Arial" w:cs="Arial"/>
        </w:rPr>
      </w:pPr>
      <w:r>
        <w:rPr>
          <w:rFonts w:ascii="Arial" w:hAnsi="Arial" w:cs="Arial"/>
          <w:b/>
        </w:rPr>
        <w:t xml:space="preserve">2.2. - </w:t>
      </w:r>
      <w:r>
        <w:rPr>
          <w:rFonts w:ascii="Arial" w:hAnsi="Arial" w:cs="Arial"/>
        </w:rPr>
        <w:t xml:space="preserve">No </w:t>
      </w:r>
      <w:r w:rsidR="00FB37F0">
        <w:rPr>
          <w:rFonts w:ascii="Arial" w:hAnsi="Arial" w:cs="Arial"/>
        </w:rPr>
        <w:t xml:space="preserve">se envió </w:t>
      </w:r>
      <w:r>
        <w:rPr>
          <w:rFonts w:ascii="Arial" w:hAnsi="Arial" w:cs="Arial"/>
        </w:rPr>
        <w:t>el comprobante del gasto “asesoría Contable”. Ni mencionan que tipo de asesoría requirieron debido a que el Organismo cuenta con departamento de contabilidad.</w:t>
      </w:r>
    </w:p>
    <w:p w:rsidR="00566590" w:rsidRDefault="00566590" w:rsidP="007C7C19">
      <w:pPr>
        <w:jc w:val="both"/>
        <w:rPr>
          <w:rFonts w:ascii="Arial" w:hAnsi="Arial" w:cs="Arial"/>
        </w:rPr>
      </w:pPr>
      <w:r>
        <w:rPr>
          <w:rFonts w:ascii="Arial" w:hAnsi="Arial" w:cs="Arial"/>
        </w:rPr>
        <w:t xml:space="preserve">       - No enviaron la pó</w:t>
      </w:r>
      <w:r w:rsidR="00536D5F">
        <w:rPr>
          <w:rFonts w:ascii="Arial" w:hAnsi="Arial" w:cs="Arial"/>
        </w:rPr>
        <w:t>liza autorizada por la instancia</w:t>
      </w:r>
      <w:r>
        <w:rPr>
          <w:rFonts w:ascii="Arial" w:hAnsi="Arial" w:cs="Arial"/>
        </w:rPr>
        <w:t xml:space="preserve"> correspondiente donde registran a resultados de ejercicios anteriores contra bancos.</w:t>
      </w:r>
    </w:p>
    <w:p w:rsidR="00422789" w:rsidRDefault="00566590" w:rsidP="007C7C19">
      <w:pPr>
        <w:jc w:val="both"/>
        <w:rPr>
          <w:rFonts w:ascii="Arial" w:hAnsi="Arial" w:cs="Arial"/>
        </w:rPr>
      </w:pPr>
      <w:r>
        <w:rPr>
          <w:rFonts w:ascii="Arial" w:hAnsi="Arial" w:cs="Arial"/>
        </w:rPr>
        <w:t xml:space="preserve">        - No </w:t>
      </w:r>
      <w:r w:rsidR="00FB37F0">
        <w:rPr>
          <w:rFonts w:ascii="Arial" w:hAnsi="Arial" w:cs="Arial"/>
        </w:rPr>
        <w:t>se manifiesta información</w:t>
      </w:r>
      <w:r>
        <w:rPr>
          <w:rFonts w:ascii="Arial" w:hAnsi="Arial" w:cs="Arial"/>
        </w:rPr>
        <w:t xml:space="preserve"> respecto a que la adjudicación </w:t>
      </w:r>
      <w:r w:rsidR="00536D5F">
        <w:rPr>
          <w:rFonts w:ascii="Arial" w:hAnsi="Arial" w:cs="Arial"/>
        </w:rPr>
        <w:t xml:space="preserve">que </w:t>
      </w:r>
      <w:r>
        <w:rPr>
          <w:rFonts w:ascii="Arial" w:hAnsi="Arial" w:cs="Arial"/>
        </w:rPr>
        <w:t>se realizó de manera directa debiendo ser por licit</w:t>
      </w:r>
      <w:r w:rsidR="009B34CE">
        <w:rPr>
          <w:rFonts w:ascii="Arial" w:hAnsi="Arial" w:cs="Arial"/>
        </w:rPr>
        <w:t>ación pública sin concurrencia.</w:t>
      </w:r>
    </w:p>
    <w:p w:rsidR="000571FE" w:rsidRPr="009B34CE" w:rsidRDefault="000571FE" w:rsidP="007C7C19">
      <w:pPr>
        <w:jc w:val="both"/>
        <w:rPr>
          <w:rFonts w:ascii="Arial" w:hAnsi="Arial" w:cs="Arial"/>
        </w:rPr>
      </w:pPr>
      <w:r>
        <w:rPr>
          <w:rFonts w:ascii="Arial" w:hAnsi="Arial" w:cs="Arial"/>
        </w:rPr>
        <w:t>Ahora bien en vista de que dicha contratación no es contemplada como excepción para que las acciones fueran adjudicadas directamente, ya que en ninguna de sus formas encaja en las características señaladas en la Ley de Compras Gubernamentales, Enajenaciones y Contratación de Se</w:t>
      </w:r>
      <w:bookmarkStart w:id="0" w:name="_GoBack"/>
      <w:bookmarkEnd w:id="0"/>
      <w:r>
        <w:rPr>
          <w:rFonts w:ascii="Arial" w:hAnsi="Arial" w:cs="Arial"/>
        </w:rPr>
        <w:t>rvicios del Estado de Jalisco y sus Municipios en su</w:t>
      </w:r>
      <w:r w:rsidR="00B76B89">
        <w:rPr>
          <w:rFonts w:ascii="Arial" w:hAnsi="Arial" w:cs="Arial"/>
        </w:rPr>
        <w:t xml:space="preserve"> articulado 47 y 73. </w:t>
      </w:r>
    </w:p>
    <w:p w:rsidR="00267518" w:rsidRPr="00084598" w:rsidRDefault="00267518" w:rsidP="00490845">
      <w:pPr>
        <w:pStyle w:val="NormalWeb"/>
        <w:spacing w:line="276" w:lineRule="auto"/>
        <w:jc w:val="both"/>
        <w:rPr>
          <w:rFonts w:ascii="Arial" w:hAnsi="Arial" w:cs="Arial"/>
          <w:color w:val="000000"/>
          <w:sz w:val="22"/>
          <w:szCs w:val="22"/>
        </w:rPr>
      </w:pPr>
      <w:r w:rsidRPr="00084598">
        <w:rPr>
          <w:rFonts w:ascii="Arial" w:hAnsi="Arial" w:cs="Arial"/>
          <w:color w:val="000000"/>
          <w:sz w:val="22"/>
          <w:szCs w:val="22"/>
        </w:rPr>
        <w:t>Por lo que</w:t>
      </w:r>
      <w:r w:rsidR="009B34CE">
        <w:rPr>
          <w:rFonts w:ascii="Arial" w:hAnsi="Arial" w:cs="Arial"/>
          <w:color w:val="000000"/>
          <w:sz w:val="22"/>
          <w:szCs w:val="22"/>
        </w:rPr>
        <w:t xml:space="preserve"> deberá ser el </w:t>
      </w:r>
      <w:r w:rsidR="009B34CE" w:rsidRPr="00084598">
        <w:rPr>
          <w:rFonts w:ascii="Arial" w:hAnsi="Arial" w:cs="Arial"/>
          <w:color w:val="000000"/>
          <w:sz w:val="22"/>
          <w:szCs w:val="22"/>
        </w:rPr>
        <w:t>Órgano</w:t>
      </w:r>
      <w:r w:rsidRPr="00084598">
        <w:rPr>
          <w:rFonts w:ascii="Arial" w:hAnsi="Arial" w:cs="Arial"/>
          <w:color w:val="000000"/>
          <w:sz w:val="22"/>
          <w:szCs w:val="22"/>
        </w:rPr>
        <w:t xml:space="preserve"> </w:t>
      </w:r>
      <w:r w:rsidR="009B34CE">
        <w:rPr>
          <w:rFonts w:ascii="Arial" w:hAnsi="Arial" w:cs="Arial"/>
          <w:color w:val="000000"/>
          <w:sz w:val="22"/>
          <w:szCs w:val="22"/>
        </w:rPr>
        <w:t>Estatal</w:t>
      </w:r>
      <w:r w:rsidRPr="00084598">
        <w:rPr>
          <w:rFonts w:ascii="Arial" w:hAnsi="Arial" w:cs="Arial"/>
          <w:color w:val="000000"/>
          <w:sz w:val="22"/>
          <w:szCs w:val="22"/>
        </w:rPr>
        <w:t xml:space="preserve"> de Control el encargado de llevar a cabo el o los procedimientos correspondientes según lo indica el artículo 52 fracciones II, III y IV de la Ley de Responsabilidades Políticas y administrativas del Estado de Jalisco</w:t>
      </w:r>
    </w:p>
    <w:p w:rsidR="00267518" w:rsidRPr="00084598" w:rsidRDefault="00267518" w:rsidP="00490845">
      <w:pPr>
        <w:pStyle w:val="NormalWeb"/>
        <w:spacing w:line="276" w:lineRule="auto"/>
        <w:jc w:val="both"/>
        <w:rPr>
          <w:rFonts w:ascii="Arial" w:hAnsi="Arial" w:cs="Arial"/>
          <w:color w:val="000000"/>
          <w:sz w:val="22"/>
          <w:szCs w:val="22"/>
        </w:rPr>
      </w:pPr>
      <w:r w:rsidRPr="00084598">
        <w:rPr>
          <w:rFonts w:ascii="Arial" w:hAnsi="Arial" w:cs="Arial"/>
          <w:color w:val="000000"/>
          <w:sz w:val="22"/>
          <w:szCs w:val="22"/>
        </w:rPr>
        <w:t>Los Órganos Internos de Control tendrán, respecto al ente público correspondiente y de conformidad con las normas y procedimientos legales aplicables, las siguientes atribuciones:</w:t>
      </w:r>
    </w:p>
    <w:p w:rsidR="00267518" w:rsidRPr="00084598" w:rsidRDefault="00267518" w:rsidP="00490845">
      <w:pPr>
        <w:pStyle w:val="NormalWeb"/>
        <w:spacing w:line="276" w:lineRule="auto"/>
        <w:jc w:val="both"/>
        <w:rPr>
          <w:rFonts w:ascii="Arial" w:hAnsi="Arial" w:cs="Arial"/>
          <w:color w:val="000000"/>
          <w:sz w:val="22"/>
          <w:szCs w:val="22"/>
        </w:rPr>
      </w:pPr>
      <w:r w:rsidRPr="00084598">
        <w:rPr>
          <w:rFonts w:ascii="Arial" w:hAnsi="Arial" w:cs="Arial"/>
          <w:color w:val="000000"/>
          <w:sz w:val="22"/>
          <w:szCs w:val="22"/>
        </w:rPr>
        <w:t>II. Investigar, substanciar y calificar las faltas administrativas;</w:t>
      </w:r>
    </w:p>
    <w:p w:rsidR="00267518" w:rsidRPr="00084598" w:rsidRDefault="00267518" w:rsidP="00490845">
      <w:pPr>
        <w:pStyle w:val="NormalWeb"/>
        <w:spacing w:line="276" w:lineRule="auto"/>
        <w:jc w:val="both"/>
        <w:rPr>
          <w:rFonts w:ascii="Arial" w:hAnsi="Arial" w:cs="Arial"/>
          <w:color w:val="000000"/>
          <w:sz w:val="22"/>
          <w:szCs w:val="22"/>
        </w:rPr>
      </w:pPr>
      <w:r w:rsidRPr="00084598">
        <w:rPr>
          <w:rFonts w:ascii="Arial" w:hAnsi="Arial" w:cs="Arial"/>
          <w:color w:val="000000"/>
          <w:sz w:val="22"/>
          <w:szCs w:val="22"/>
        </w:rPr>
        <w:t>III. Resolver las faltas administrativas no graves e imponer y ejecutar las sanciones correspondientes;</w:t>
      </w:r>
    </w:p>
    <w:p w:rsidR="00267518" w:rsidRPr="00084598" w:rsidRDefault="00267518" w:rsidP="00490845">
      <w:pPr>
        <w:pStyle w:val="NormalWeb"/>
        <w:spacing w:line="276" w:lineRule="auto"/>
        <w:jc w:val="both"/>
        <w:rPr>
          <w:rFonts w:ascii="Arial" w:hAnsi="Arial" w:cs="Arial"/>
          <w:color w:val="000000"/>
          <w:sz w:val="22"/>
          <w:szCs w:val="22"/>
        </w:rPr>
      </w:pPr>
      <w:r w:rsidRPr="00084598">
        <w:rPr>
          <w:rFonts w:ascii="Arial" w:hAnsi="Arial" w:cs="Arial"/>
          <w:color w:val="000000"/>
          <w:sz w:val="22"/>
          <w:szCs w:val="22"/>
        </w:rPr>
        <w:t>IV. Remitir los procedimientos sobre faltas administrativas graves, debidamente sustanciados, al Tribunal de Justicia Administrativa para su resolución.</w:t>
      </w:r>
    </w:p>
    <w:p w:rsidR="00267518" w:rsidRPr="00084598" w:rsidRDefault="00267518" w:rsidP="007C7C19">
      <w:pPr>
        <w:jc w:val="both"/>
        <w:rPr>
          <w:rFonts w:ascii="Arial" w:hAnsi="Arial" w:cs="Arial"/>
          <w:bCs/>
        </w:rPr>
      </w:pPr>
    </w:p>
    <w:p w:rsidR="00A26D40" w:rsidRPr="0011373E" w:rsidRDefault="00A26D40" w:rsidP="009053E2">
      <w:pPr>
        <w:jc w:val="both"/>
      </w:pPr>
    </w:p>
    <w:sectPr w:rsidR="00A26D40" w:rsidRPr="0011373E" w:rsidSect="001E1583">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F48" w:rsidRDefault="00B17F48" w:rsidP="001E1583">
      <w:pPr>
        <w:spacing w:after="0" w:line="240" w:lineRule="auto"/>
      </w:pPr>
      <w:r>
        <w:separator/>
      </w:r>
    </w:p>
  </w:endnote>
  <w:endnote w:type="continuationSeparator" w:id="0">
    <w:p w:rsidR="00B17F48" w:rsidRDefault="00B17F48" w:rsidP="001E1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ight">
    <w:altName w:val="Cambria Math"/>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F48" w:rsidRDefault="00B17F48" w:rsidP="001E1583">
      <w:pPr>
        <w:spacing w:after="0" w:line="240" w:lineRule="auto"/>
      </w:pPr>
      <w:r>
        <w:separator/>
      </w:r>
    </w:p>
  </w:footnote>
  <w:footnote w:type="continuationSeparator" w:id="0">
    <w:p w:rsidR="00B17F48" w:rsidRDefault="00B17F48" w:rsidP="001E1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E3" w:rsidRPr="00F55CE3" w:rsidRDefault="00A5427B" w:rsidP="00F55CE3">
    <w:pPr>
      <w:tabs>
        <w:tab w:val="left" w:pos="6165"/>
      </w:tabs>
      <w:spacing w:after="0" w:line="240" w:lineRule="auto"/>
      <w:jc w:val="right"/>
      <w:rPr>
        <w:rFonts w:ascii="Frutiger-Light" w:hAnsi="Frutiger-Light" w:cs="Frutiger-Light"/>
        <w:noProof/>
        <w:color w:val="333333"/>
      </w:rPr>
    </w:pPr>
    <w:r w:rsidRPr="0002416F">
      <w:rPr>
        <w:rFonts w:ascii="Arial" w:hAnsi="Arial" w:cs="Arial"/>
        <w:b/>
        <w:w w:val="200"/>
      </w:rPr>
      <w:t>Anexo Of. DGP/</w:t>
    </w:r>
    <w:r>
      <w:rPr>
        <w:rFonts w:ascii="Arial" w:hAnsi="Arial" w:cs="Arial"/>
        <w:b/>
        <w:w w:val="200"/>
      </w:rPr>
      <w:t>1350/2020</w:t>
    </w:r>
    <w:r w:rsidRPr="0002416F">
      <w:rPr>
        <w:rFonts w:ascii="Arial" w:hAnsi="Arial" w:cs="Arial"/>
        <w:b/>
        <w:w w:val="200"/>
      </w:rPr>
      <w:t xml:space="preserve"> </w:t>
    </w:r>
    <w:r w:rsidR="00F55CE3" w:rsidRPr="00F55CE3">
      <w:rPr>
        <w:noProof/>
      </w:rPr>
      <w:drawing>
        <wp:anchor distT="0" distB="0" distL="114300" distR="114300" simplePos="0" relativeHeight="251658240" behindDoc="0" locked="0" layoutInCell="1" allowOverlap="1" wp14:anchorId="1652DA32" wp14:editId="03895C60">
          <wp:simplePos x="0" y="0"/>
          <wp:positionH relativeFrom="column">
            <wp:posOffset>-203835</wp:posOffset>
          </wp:positionH>
          <wp:positionV relativeFrom="paragraph">
            <wp:posOffset>102870</wp:posOffset>
          </wp:positionV>
          <wp:extent cx="1819275" cy="6096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CE3" w:rsidRPr="00F55CE3">
      <w:tab/>
    </w:r>
  </w:p>
  <w:p w:rsidR="00F55CE3" w:rsidRPr="00F55CE3" w:rsidRDefault="00F55CE3" w:rsidP="00F55CE3">
    <w:pPr>
      <w:tabs>
        <w:tab w:val="left" w:pos="6165"/>
      </w:tabs>
      <w:spacing w:after="0" w:line="240" w:lineRule="auto"/>
      <w:rPr>
        <w:rFonts w:ascii="Frutiger-Light" w:hAnsi="Frutiger-Light" w:cs="Frutiger-Light"/>
        <w:noProof/>
        <w:color w:val="333333"/>
      </w:rPr>
    </w:pPr>
  </w:p>
  <w:p w:rsidR="00A5427B" w:rsidRDefault="00A5427B" w:rsidP="00F55CE3">
    <w:pPr>
      <w:jc w:val="center"/>
      <w:rPr>
        <w:rFonts w:ascii="Arial Rounded MT Bold" w:eastAsia="Arial Unicode MS" w:hAnsi="Arial Rounded MT Bold" w:cs="Arial Unicode MS"/>
      </w:rPr>
    </w:pPr>
  </w:p>
  <w:p w:rsidR="00A5427B" w:rsidRDefault="00A5427B" w:rsidP="00F55CE3">
    <w:pPr>
      <w:jc w:val="center"/>
      <w:rPr>
        <w:rFonts w:ascii="Arial Rounded MT Bold" w:eastAsia="Arial Unicode MS" w:hAnsi="Arial Rounded MT Bold" w:cs="Arial Unicode MS"/>
      </w:rPr>
    </w:pPr>
  </w:p>
  <w:p w:rsidR="00F55CE3" w:rsidRPr="00F55CE3" w:rsidRDefault="00C125E1" w:rsidP="00F55CE3">
    <w:pPr>
      <w:jc w:val="center"/>
      <w:rPr>
        <w:rFonts w:ascii="Arial Rounded MT Bold" w:eastAsia="Arial Unicode MS" w:hAnsi="Arial Rounded MT Bold" w:cs="Arial"/>
        <w:sz w:val="28"/>
        <w:szCs w:val="28"/>
        <w:lang w:val="es-ES_tradnl"/>
      </w:rPr>
    </w:pPr>
    <w:r>
      <w:rPr>
        <w:rFonts w:ascii="Arial Rounded MT Bold" w:eastAsia="Arial Unicode MS" w:hAnsi="Arial Rounded MT Bold" w:cs="Arial Unicode MS"/>
      </w:rPr>
      <w:t>INDUSTRIA JALISCIENSE DE REHABILITACIÓN SOCIAL</w:t>
    </w:r>
  </w:p>
  <w:p w:rsidR="00F55CE3" w:rsidRPr="00F55CE3" w:rsidRDefault="00F55CE3" w:rsidP="00F55CE3">
    <w:pPr>
      <w:jc w:val="center"/>
      <w:rPr>
        <w:rFonts w:ascii="Arial Rounded MT Bold" w:hAnsi="Arial Rounded MT Bold" w:cs="Arial"/>
        <w:bCs/>
        <w:szCs w:val="18"/>
        <w:lang w:val="es-ES_tradnl" w:eastAsia="es-ES_tradnl"/>
      </w:rPr>
    </w:pPr>
    <w:r w:rsidRPr="00F55CE3">
      <w:rPr>
        <w:rFonts w:ascii="Arial Rounded MT Bold" w:hAnsi="Arial Rounded MT Bold" w:cs="Arial"/>
        <w:bCs/>
        <w:szCs w:val="18"/>
        <w:lang w:val="es-ES_tradnl" w:eastAsia="es-ES_tradnl"/>
      </w:rPr>
      <w:t>Del 1 de Enero al 31 de Diciembre del 201</w:t>
    </w:r>
    <w:r w:rsidR="00C125E1">
      <w:rPr>
        <w:rFonts w:ascii="Arial Rounded MT Bold" w:hAnsi="Arial Rounded MT Bold" w:cs="Arial"/>
        <w:bCs/>
        <w:szCs w:val="18"/>
        <w:lang w:val="es-ES_tradnl" w:eastAsia="es-ES_tradnl"/>
      </w:rPr>
      <w:t xml:space="preserve">8 y </w:t>
    </w:r>
    <w:r w:rsidRPr="00F55CE3">
      <w:rPr>
        <w:rFonts w:ascii="Arial Rounded MT Bold" w:hAnsi="Arial Rounded MT Bold" w:cs="Arial"/>
        <w:bCs/>
        <w:szCs w:val="18"/>
        <w:lang w:val="es-ES_tradnl" w:eastAsia="es-ES_tradnl"/>
      </w:rPr>
      <w:t xml:space="preserve">1 de Enero al 31 de </w:t>
    </w:r>
    <w:r w:rsidR="00C125E1">
      <w:rPr>
        <w:rFonts w:ascii="Arial Rounded MT Bold" w:hAnsi="Arial Rounded MT Bold" w:cs="Arial"/>
        <w:bCs/>
        <w:szCs w:val="18"/>
        <w:lang w:val="es-ES_tradnl" w:eastAsia="es-ES_tradnl"/>
      </w:rPr>
      <w:t>Agosto de 2019</w:t>
    </w:r>
    <w:r w:rsidRPr="00F55CE3">
      <w:rPr>
        <w:rFonts w:ascii="Arial Rounded MT Bold" w:hAnsi="Arial Rounded MT Bold" w:cs="Arial"/>
        <w:bCs/>
        <w:szCs w:val="18"/>
        <w:lang w:val="es-ES_tradnl" w:eastAsia="es-ES_tradnl"/>
      </w:rPr>
      <w:t xml:space="preserve"> </w:t>
    </w:r>
  </w:p>
  <w:p w:rsidR="00F55CE3" w:rsidRPr="00F55CE3" w:rsidRDefault="00F55CE3" w:rsidP="00F55CE3">
    <w:pPr>
      <w:jc w:val="center"/>
      <w:rPr>
        <w:rFonts w:ascii="Arial Rounded MT Bold" w:hAnsi="Arial Rounded MT Bold" w:cs="Arial"/>
        <w:b/>
        <w:sz w:val="28"/>
        <w:szCs w:val="28"/>
      </w:rPr>
    </w:pPr>
    <w:r w:rsidRPr="00F55CE3">
      <w:rPr>
        <w:rFonts w:ascii="Arial Rounded MT Bold" w:hAnsi="Arial Rounded MT Bold" w:cs="Arial"/>
        <w:b/>
        <w:sz w:val="28"/>
        <w:szCs w:val="28"/>
      </w:rPr>
      <w:t>ANEXO  “</w:t>
    </w:r>
    <w:r>
      <w:rPr>
        <w:rFonts w:ascii="Arial Rounded MT Bold" w:hAnsi="Arial Rounded MT Bold" w:cs="Arial"/>
        <w:b/>
        <w:sz w:val="28"/>
        <w:szCs w:val="28"/>
      </w:rPr>
      <w:t>BB</w:t>
    </w:r>
    <w:r w:rsidRPr="00F55CE3">
      <w:rPr>
        <w:rFonts w:ascii="Arial Rounded MT Bold" w:hAnsi="Arial Rounded MT Bold" w:cs="Arial"/>
        <w:b/>
        <w:sz w:val="28"/>
        <w:szCs w:val="28"/>
      </w:rPr>
      <w:t>”</w:t>
    </w:r>
  </w:p>
  <w:p w:rsidR="001E1583" w:rsidRPr="00F55CE3" w:rsidRDefault="00F55CE3" w:rsidP="00F55CE3">
    <w:pPr>
      <w:jc w:val="center"/>
      <w:rPr>
        <w:rFonts w:ascii="Arial Rounded MT Bold" w:hAnsi="Arial Rounded MT Bold"/>
        <w:sz w:val="28"/>
        <w:szCs w:val="28"/>
      </w:rPr>
    </w:pPr>
    <w:r w:rsidRPr="00F55CE3">
      <w:rPr>
        <w:rFonts w:ascii="Arial Rounded MT Bold" w:hAnsi="Arial Rounded MT Bold"/>
        <w:sz w:val="28"/>
        <w:szCs w:val="28"/>
      </w:rPr>
      <w:t xml:space="preserve">Conclusión OEC de la Observación </w:t>
    </w:r>
    <w:r>
      <w:rPr>
        <w:rFonts w:ascii="Arial Rounded MT Bold" w:hAnsi="Arial Rounded MT Bold"/>
        <w:sz w:val="28"/>
        <w:szCs w:val="28"/>
      </w:rPr>
      <w:t>No.</w:t>
    </w:r>
    <w:r w:rsidR="00C125E1">
      <w:rPr>
        <w:rFonts w:ascii="Arial Rounded MT Bold" w:hAnsi="Arial Rounded MT Bold"/>
        <w:sz w:val="28"/>
        <w:szCs w:val="28"/>
      </w:rPr>
      <w:t xml:space="preserve"> 2.1 </w:t>
    </w:r>
    <w:r w:rsidR="00281C49">
      <w:rPr>
        <w:rFonts w:ascii="Arial Rounded MT Bold" w:hAnsi="Arial Rounded MT Bold"/>
        <w:sz w:val="28"/>
        <w:szCs w:val="28"/>
      </w:rPr>
      <w:t>y 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7A5270"/>
    <w:multiLevelType w:val="hybridMultilevel"/>
    <w:tmpl w:val="A0C0845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F65145F"/>
    <w:multiLevelType w:val="hybridMultilevel"/>
    <w:tmpl w:val="26862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583"/>
    <w:rsid w:val="00037DC7"/>
    <w:rsid w:val="000571FE"/>
    <w:rsid w:val="000753AA"/>
    <w:rsid w:val="00084598"/>
    <w:rsid w:val="000A717A"/>
    <w:rsid w:val="00110CEE"/>
    <w:rsid w:val="0011373E"/>
    <w:rsid w:val="001267EA"/>
    <w:rsid w:val="0014475E"/>
    <w:rsid w:val="00177A46"/>
    <w:rsid w:val="001E1583"/>
    <w:rsid w:val="00222DCB"/>
    <w:rsid w:val="00267518"/>
    <w:rsid w:val="00281C49"/>
    <w:rsid w:val="00293C40"/>
    <w:rsid w:val="002A33CC"/>
    <w:rsid w:val="002A54D8"/>
    <w:rsid w:val="002A6375"/>
    <w:rsid w:val="0030449B"/>
    <w:rsid w:val="00313E3B"/>
    <w:rsid w:val="00317384"/>
    <w:rsid w:val="0033387E"/>
    <w:rsid w:val="00382AE4"/>
    <w:rsid w:val="00383738"/>
    <w:rsid w:val="00390A61"/>
    <w:rsid w:val="00394397"/>
    <w:rsid w:val="003D2293"/>
    <w:rsid w:val="00422789"/>
    <w:rsid w:val="00430820"/>
    <w:rsid w:val="00483AF2"/>
    <w:rsid w:val="00490845"/>
    <w:rsid w:val="004A33CF"/>
    <w:rsid w:val="004F595F"/>
    <w:rsid w:val="00536D5F"/>
    <w:rsid w:val="00566590"/>
    <w:rsid w:val="005A240F"/>
    <w:rsid w:val="005E6DCC"/>
    <w:rsid w:val="00620578"/>
    <w:rsid w:val="00630B71"/>
    <w:rsid w:val="00631F0C"/>
    <w:rsid w:val="006372AB"/>
    <w:rsid w:val="00674433"/>
    <w:rsid w:val="00687522"/>
    <w:rsid w:val="006A555D"/>
    <w:rsid w:val="00721C36"/>
    <w:rsid w:val="00764DC7"/>
    <w:rsid w:val="007C7C19"/>
    <w:rsid w:val="007F46FE"/>
    <w:rsid w:val="00822A9C"/>
    <w:rsid w:val="00874C0D"/>
    <w:rsid w:val="0088234F"/>
    <w:rsid w:val="00897918"/>
    <w:rsid w:val="008F3F49"/>
    <w:rsid w:val="009053E2"/>
    <w:rsid w:val="00956D2E"/>
    <w:rsid w:val="00960859"/>
    <w:rsid w:val="00963297"/>
    <w:rsid w:val="009B34CE"/>
    <w:rsid w:val="00A10A49"/>
    <w:rsid w:val="00A26D40"/>
    <w:rsid w:val="00A41A5B"/>
    <w:rsid w:val="00A5427B"/>
    <w:rsid w:val="00A76E13"/>
    <w:rsid w:val="00A917AC"/>
    <w:rsid w:val="00AA4EE0"/>
    <w:rsid w:val="00AF2C5C"/>
    <w:rsid w:val="00AF6314"/>
    <w:rsid w:val="00B01467"/>
    <w:rsid w:val="00B17F48"/>
    <w:rsid w:val="00B2687D"/>
    <w:rsid w:val="00B45895"/>
    <w:rsid w:val="00B62D86"/>
    <w:rsid w:val="00B76B89"/>
    <w:rsid w:val="00B821EB"/>
    <w:rsid w:val="00BA0618"/>
    <w:rsid w:val="00BA7E4E"/>
    <w:rsid w:val="00BD17BB"/>
    <w:rsid w:val="00BD6EC1"/>
    <w:rsid w:val="00BD7357"/>
    <w:rsid w:val="00C125E1"/>
    <w:rsid w:val="00C1632C"/>
    <w:rsid w:val="00C32552"/>
    <w:rsid w:val="00C43C7F"/>
    <w:rsid w:val="00C5111E"/>
    <w:rsid w:val="00C60BB5"/>
    <w:rsid w:val="00C9183B"/>
    <w:rsid w:val="00CA5411"/>
    <w:rsid w:val="00CF4447"/>
    <w:rsid w:val="00D0633F"/>
    <w:rsid w:val="00D57A2C"/>
    <w:rsid w:val="00D72F68"/>
    <w:rsid w:val="00D77A42"/>
    <w:rsid w:val="00D80D0E"/>
    <w:rsid w:val="00DA55A8"/>
    <w:rsid w:val="00DB6004"/>
    <w:rsid w:val="00DC64C8"/>
    <w:rsid w:val="00E07A34"/>
    <w:rsid w:val="00E4227D"/>
    <w:rsid w:val="00EB4EDC"/>
    <w:rsid w:val="00ED0335"/>
    <w:rsid w:val="00ED254B"/>
    <w:rsid w:val="00EE4ED5"/>
    <w:rsid w:val="00F24D75"/>
    <w:rsid w:val="00F361BF"/>
    <w:rsid w:val="00F55CE3"/>
    <w:rsid w:val="00F679AB"/>
    <w:rsid w:val="00FA596C"/>
    <w:rsid w:val="00FB37F0"/>
    <w:rsid w:val="00FF05B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39"/>
    <w:rsid w:val="00304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2687D"/>
    <w:pPr>
      <w:ind w:left="720"/>
      <w:contextualSpacing/>
    </w:pPr>
  </w:style>
  <w:style w:type="paragraph" w:styleId="NormalWeb">
    <w:name w:val="Normal (Web)"/>
    <w:basedOn w:val="Normal"/>
    <w:uiPriority w:val="99"/>
    <w:semiHidden/>
    <w:unhideWhenUsed/>
    <w:rsid w:val="00222D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1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1583"/>
  </w:style>
  <w:style w:type="paragraph" w:styleId="Piedepgina">
    <w:name w:val="footer"/>
    <w:basedOn w:val="Normal"/>
    <w:link w:val="PiedepginaCar"/>
    <w:uiPriority w:val="99"/>
    <w:unhideWhenUsed/>
    <w:rsid w:val="001E1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1583"/>
  </w:style>
  <w:style w:type="paragraph" w:styleId="Textodeglobo">
    <w:name w:val="Balloon Text"/>
    <w:basedOn w:val="Normal"/>
    <w:link w:val="TextodegloboCar"/>
    <w:uiPriority w:val="99"/>
    <w:semiHidden/>
    <w:unhideWhenUsed/>
    <w:rsid w:val="001E15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1583"/>
    <w:rPr>
      <w:rFonts w:ascii="Tahoma" w:hAnsi="Tahoma" w:cs="Tahoma"/>
      <w:sz w:val="16"/>
      <w:szCs w:val="16"/>
    </w:rPr>
  </w:style>
  <w:style w:type="table" w:styleId="Tablaconcuadrcula">
    <w:name w:val="Table Grid"/>
    <w:basedOn w:val="Tablanormal"/>
    <w:uiPriority w:val="39"/>
    <w:rsid w:val="003044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B2687D"/>
    <w:pPr>
      <w:ind w:left="720"/>
      <w:contextualSpacing/>
    </w:pPr>
  </w:style>
  <w:style w:type="paragraph" w:styleId="NormalWeb">
    <w:name w:val="Normal (Web)"/>
    <w:basedOn w:val="Normal"/>
    <w:uiPriority w:val="99"/>
    <w:semiHidden/>
    <w:unhideWhenUsed/>
    <w:rsid w:val="00222D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70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Perez Elizalde</dc:creator>
  <cp:lastModifiedBy>Emilio Perez Elizalde</cp:lastModifiedBy>
  <cp:revision>2</cp:revision>
  <cp:lastPrinted>2020-06-29T17:56:00Z</cp:lastPrinted>
  <dcterms:created xsi:type="dcterms:W3CDTF">2020-07-02T17:26:00Z</dcterms:created>
  <dcterms:modified xsi:type="dcterms:W3CDTF">2020-07-02T17:26:00Z</dcterms:modified>
</cp:coreProperties>
</file>