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87D" w:rsidRDefault="00B2687D" w:rsidP="00AA4EE0">
      <w:pPr>
        <w:rPr>
          <w:rFonts w:ascii="Arial" w:hAnsi="Arial" w:cs="Arial"/>
          <w:bCs/>
          <w:sz w:val="20"/>
          <w:szCs w:val="20"/>
        </w:rPr>
      </w:pPr>
      <w:bookmarkStart w:id="0" w:name="_GoBack"/>
      <w:bookmarkEnd w:id="0"/>
    </w:p>
    <w:p w:rsidR="00B2687D" w:rsidRPr="00A41A5B" w:rsidRDefault="00AA4EE0" w:rsidP="00EB4EDC">
      <w:pPr>
        <w:jc w:val="both"/>
        <w:rPr>
          <w:rFonts w:ascii="Arial" w:hAnsi="Arial" w:cs="Arial"/>
          <w:bCs/>
          <w:sz w:val="24"/>
          <w:szCs w:val="20"/>
        </w:rPr>
      </w:pPr>
      <w:r w:rsidRPr="00A41A5B">
        <w:rPr>
          <w:rFonts w:ascii="Arial" w:hAnsi="Arial" w:cs="Arial"/>
          <w:b/>
          <w:bCs/>
          <w:sz w:val="24"/>
          <w:szCs w:val="20"/>
        </w:rPr>
        <w:t>1.2 a</w:t>
      </w:r>
      <w:r w:rsidRPr="00A41A5B">
        <w:rPr>
          <w:rFonts w:ascii="Arial" w:hAnsi="Arial" w:cs="Arial"/>
          <w:bCs/>
          <w:sz w:val="24"/>
          <w:szCs w:val="20"/>
        </w:rPr>
        <w:t>) No solventada derivado de que el Organismo no dio respuesta</w:t>
      </w:r>
      <w:r w:rsidR="00383738">
        <w:rPr>
          <w:rFonts w:ascii="Arial" w:hAnsi="Arial" w:cs="Arial"/>
          <w:bCs/>
          <w:sz w:val="24"/>
          <w:szCs w:val="20"/>
        </w:rPr>
        <w:t xml:space="preserve"> alguna a este </w:t>
      </w:r>
      <w:r w:rsidRPr="00A41A5B">
        <w:rPr>
          <w:rFonts w:ascii="Arial" w:hAnsi="Arial" w:cs="Arial"/>
          <w:bCs/>
          <w:sz w:val="24"/>
          <w:szCs w:val="20"/>
        </w:rPr>
        <w:t xml:space="preserve">inciso a) </w:t>
      </w:r>
    </w:p>
    <w:p w:rsidR="006A555D" w:rsidRDefault="00AA4EE0" w:rsidP="00EB4EDC">
      <w:pPr>
        <w:jc w:val="both"/>
        <w:rPr>
          <w:rFonts w:ascii="Arial" w:hAnsi="Arial" w:cs="Arial"/>
          <w:bCs/>
          <w:sz w:val="24"/>
          <w:szCs w:val="24"/>
        </w:rPr>
      </w:pPr>
      <w:r w:rsidRPr="00A41A5B">
        <w:rPr>
          <w:rFonts w:ascii="Arial" w:hAnsi="Arial" w:cs="Arial"/>
          <w:b/>
          <w:bCs/>
          <w:sz w:val="24"/>
          <w:szCs w:val="24"/>
        </w:rPr>
        <w:t>1.2 b)</w:t>
      </w:r>
      <w:r w:rsidRPr="00AA4EE0">
        <w:rPr>
          <w:rFonts w:ascii="Arial" w:hAnsi="Arial" w:cs="Arial"/>
          <w:bCs/>
          <w:sz w:val="24"/>
          <w:szCs w:val="24"/>
        </w:rPr>
        <w:t xml:space="preserve"> La información presentada no fue suficiente para solventar esta observación ya que únicamente </w:t>
      </w:r>
      <w:r w:rsidR="00A41A5B">
        <w:rPr>
          <w:rFonts w:ascii="Arial" w:hAnsi="Arial" w:cs="Arial"/>
          <w:bCs/>
          <w:sz w:val="24"/>
          <w:szCs w:val="24"/>
        </w:rPr>
        <w:t>presentaron</w:t>
      </w:r>
      <w:r w:rsidR="00383738">
        <w:rPr>
          <w:rFonts w:ascii="Arial" w:hAnsi="Arial" w:cs="Arial"/>
          <w:bCs/>
          <w:sz w:val="24"/>
          <w:szCs w:val="24"/>
        </w:rPr>
        <w:t xml:space="preserve"> </w:t>
      </w:r>
      <w:r w:rsidR="00A41A5B">
        <w:rPr>
          <w:rFonts w:ascii="Arial" w:hAnsi="Arial" w:cs="Arial"/>
          <w:bCs/>
          <w:sz w:val="24"/>
          <w:szCs w:val="24"/>
        </w:rPr>
        <w:t xml:space="preserve">una </w:t>
      </w:r>
      <w:r>
        <w:rPr>
          <w:rFonts w:ascii="Arial" w:hAnsi="Arial" w:cs="Arial"/>
          <w:bCs/>
          <w:sz w:val="24"/>
          <w:szCs w:val="24"/>
        </w:rPr>
        <w:t xml:space="preserve">solicitud para la prescripción del adeudo de </w:t>
      </w:r>
      <w:proofErr w:type="gramStart"/>
      <w:r>
        <w:rPr>
          <w:rFonts w:ascii="Arial" w:hAnsi="Arial" w:cs="Arial"/>
          <w:bCs/>
          <w:sz w:val="24"/>
          <w:szCs w:val="24"/>
        </w:rPr>
        <w:t>fecha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19 de enero de 2015 </w:t>
      </w:r>
      <w:r w:rsidR="00A41A5B">
        <w:rPr>
          <w:rFonts w:ascii="Arial" w:hAnsi="Arial" w:cs="Arial"/>
          <w:bCs/>
          <w:sz w:val="24"/>
          <w:szCs w:val="24"/>
        </w:rPr>
        <w:t>con el que</w:t>
      </w:r>
      <w:r w:rsidR="00383738">
        <w:rPr>
          <w:rFonts w:ascii="Arial" w:hAnsi="Arial" w:cs="Arial"/>
          <w:bCs/>
          <w:sz w:val="24"/>
          <w:szCs w:val="24"/>
        </w:rPr>
        <w:t xml:space="preserve"> el O</w:t>
      </w:r>
      <w:r>
        <w:rPr>
          <w:rFonts w:ascii="Arial" w:hAnsi="Arial" w:cs="Arial"/>
          <w:bCs/>
          <w:sz w:val="24"/>
          <w:szCs w:val="24"/>
        </w:rPr>
        <w:t xml:space="preserve">rganismo no demuestra con ningún otro documento la autorización </w:t>
      </w:r>
      <w:r w:rsidR="00A41A5B">
        <w:rPr>
          <w:rFonts w:ascii="Arial" w:hAnsi="Arial" w:cs="Arial"/>
          <w:bCs/>
          <w:sz w:val="24"/>
          <w:szCs w:val="24"/>
        </w:rPr>
        <w:t xml:space="preserve">expresa que manifieste la autorización para la prescripción de la cuenta contrato </w:t>
      </w:r>
      <w:r>
        <w:rPr>
          <w:rFonts w:ascii="Arial" w:hAnsi="Arial" w:cs="Arial"/>
          <w:bCs/>
          <w:sz w:val="24"/>
          <w:szCs w:val="24"/>
        </w:rPr>
        <w:t xml:space="preserve">10705133 con clave </w:t>
      </w:r>
      <w:proofErr w:type="spellStart"/>
      <w:r>
        <w:rPr>
          <w:rFonts w:ascii="Arial" w:hAnsi="Arial" w:cs="Arial"/>
          <w:bCs/>
          <w:sz w:val="24"/>
          <w:szCs w:val="24"/>
        </w:rPr>
        <w:t>Siapa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0033-0309-0039 </w:t>
      </w:r>
      <w:r w:rsidR="00A41A5B">
        <w:rPr>
          <w:rFonts w:ascii="Arial" w:hAnsi="Arial" w:cs="Arial"/>
          <w:bCs/>
          <w:sz w:val="24"/>
          <w:szCs w:val="24"/>
        </w:rPr>
        <w:t>y la cuenta contrato 10641280</w:t>
      </w:r>
      <w:r w:rsidR="00390A61">
        <w:rPr>
          <w:rFonts w:ascii="Arial" w:hAnsi="Arial" w:cs="Arial"/>
          <w:bCs/>
          <w:sz w:val="24"/>
          <w:szCs w:val="24"/>
        </w:rPr>
        <w:t>.</w:t>
      </w:r>
      <w:r w:rsidR="00A41A5B">
        <w:rPr>
          <w:rFonts w:ascii="Arial" w:hAnsi="Arial" w:cs="Arial"/>
          <w:bCs/>
          <w:sz w:val="24"/>
          <w:szCs w:val="24"/>
        </w:rPr>
        <w:t xml:space="preserve"> </w:t>
      </w:r>
    </w:p>
    <w:p w:rsidR="00B2687D" w:rsidRPr="00383738" w:rsidRDefault="00390A61" w:rsidP="00383738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a) </w:t>
      </w:r>
      <w:proofErr w:type="gramStart"/>
      <w:r w:rsidR="00B2687D" w:rsidRPr="00383738">
        <w:rPr>
          <w:rFonts w:ascii="Arial" w:hAnsi="Arial" w:cs="Arial"/>
          <w:bCs/>
          <w:sz w:val="24"/>
          <w:szCs w:val="24"/>
        </w:rPr>
        <w:t>y</w:t>
      </w:r>
      <w:proofErr w:type="gramEnd"/>
      <w:r w:rsidR="00B2687D" w:rsidRPr="00383738">
        <w:rPr>
          <w:rFonts w:ascii="Arial" w:hAnsi="Arial" w:cs="Arial"/>
          <w:bCs/>
          <w:sz w:val="24"/>
          <w:szCs w:val="24"/>
        </w:rPr>
        <w:t xml:space="preserve">  b) Por lo que deberá su Órgano Interno de Control ser el encargado de llevar a cabo el o los procedimientos correspondientes según lo indica el artículo 52 fracciones II, III y IV de la Ley de Responsabilidades Políticas y administrativas del Estado de Jalisco:</w:t>
      </w:r>
    </w:p>
    <w:p w:rsidR="00B2687D" w:rsidRPr="00383738" w:rsidRDefault="00B2687D" w:rsidP="00B2687D">
      <w:pPr>
        <w:jc w:val="both"/>
        <w:rPr>
          <w:rFonts w:ascii="Arial" w:hAnsi="Arial" w:cs="Arial"/>
          <w:bCs/>
          <w:sz w:val="24"/>
          <w:szCs w:val="24"/>
        </w:rPr>
      </w:pPr>
      <w:r w:rsidRPr="00383738">
        <w:rPr>
          <w:rFonts w:ascii="Arial" w:hAnsi="Arial" w:cs="Arial"/>
          <w:bCs/>
          <w:sz w:val="24"/>
          <w:szCs w:val="24"/>
        </w:rPr>
        <w:t>Los Órganos Internos de Control tendrán, respecto al ente público correspondiente y de conformidad con las normas y procedimientos legales aplicables, las siguientes atribuciones:</w:t>
      </w:r>
    </w:p>
    <w:p w:rsidR="00B2687D" w:rsidRPr="00383738" w:rsidRDefault="00B2687D" w:rsidP="00B2687D">
      <w:pPr>
        <w:jc w:val="both"/>
        <w:rPr>
          <w:rFonts w:ascii="Arial" w:hAnsi="Arial" w:cs="Arial"/>
          <w:bCs/>
          <w:sz w:val="24"/>
          <w:szCs w:val="24"/>
        </w:rPr>
      </w:pPr>
      <w:r w:rsidRPr="00383738">
        <w:rPr>
          <w:rFonts w:ascii="Arial" w:hAnsi="Arial" w:cs="Arial"/>
          <w:bCs/>
          <w:sz w:val="24"/>
          <w:szCs w:val="24"/>
        </w:rPr>
        <w:t xml:space="preserve">II. Investigar, substanciar y calificar las faltas administrativas;  </w:t>
      </w:r>
    </w:p>
    <w:p w:rsidR="00B2687D" w:rsidRPr="00383738" w:rsidRDefault="00B2687D" w:rsidP="00B2687D">
      <w:pPr>
        <w:jc w:val="both"/>
        <w:rPr>
          <w:rFonts w:ascii="Arial" w:hAnsi="Arial" w:cs="Arial"/>
          <w:bCs/>
          <w:sz w:val="24"/>
          <w:szCs w:val="24"/>
        </w:rPr>
      </w:pPr>
      <w:r w:rsidRPr="00383738">
        <w:rPr>
          <w:rFonts w:ascii="Arial" w:hAnsi="Arial" w:cs="Arial"/>
          <w:bCs/>
          <w:sz w:val="24"/>
          <w:szCs w:val="24"/>
        </w:rPr>
        <w:t>III. Resolver las faltas administrativas no graves e imponer y ejecutar las sanciones correspondientes;</w:t>
      </w:r>
    </w:p>
    <w:p w:rsidR="00B2687D" w:rsidRPr="00383738" w:rsidRDefault="00B2687D" w:rsidP="00B2687D">
      <w:pPr>
        <w:jc w:val="both"/>
        <w:rPr>
          <w:rFonts w:ascii="Arial" w:hAnsi="Arial" w:cs="Arial"/>
          <w:bCs/>
          <w:sz w:val="24"/>
          <w:szCs w:val="24"/>
        </w:rPr>
      </w:pPr>
      <w:r w:rsidRPr="00383738">
        <w:rPr>
          <w:rFonts w:ascii="Arial" w:hAnsi="Arial" w:cs="Arial"/>
          <w:bCs/>
          <w:sz w:val="24"/>
          <w:szCs w:val="24"/>
        </w:rPr>
        <w:t>IV. Remitir los procedimientos sobre faltas administrativas graves, debidamente sustanciados, al Tribunal de Justicia Administrativa para su resolución.</w:t>
      </w:r>
    </w:p>
    <w:p w:rsidR="00B2687D" w:rsidRPr="00383738" w:rsidRDefault="00B2687D" w:rsidP="00EB4EDC">
      <w:pPr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383738">
        <w:rPr>
          <w:rFonts w:ascii="Arial" w:eastAsia="Calibri" w:hAnsi="Arial" w:cs="Arial"/>
          <w:b/>
          <w:sz w:val="24"/>
          <w:szCs w:val="24"/>
        </w:rPr>
        <w:t>Por lo que deberán enviar la resolución a este Órgano Estatal de Control</w:t>
      </w:r>
      <w:r w:rsidRPr="00383738">
        <w:rPr>
          <w:rFonts w:ascii="Arial" w:eastAsia="Calibri" w:hAnsi="Arial" w:cs="Arial"/>
          <w:b/>
          <w:bCs/>
          <w:sz w:val="24"/>
          <w:szCs w:val="24"/>
        </w:rPr>
        <w:t>.</w:t>
      </w:r>
    </w:p>
    <w:p w:rsidR="00A26D40" w:rsidRPr="00956D2E" w:rsidRDefault="00ED254B" w:rsidP="00EB4EDC">
      <w:pPr>
        <w:jc w:val="both"/>
        <w:rPr>
          <w:sz w:val="24"/>
          <w:szCs w:val="24"/>
        </w:rPr>
      </w:pPr>
      <w:r w:rsidRPr="00956D2E">
        <w:rPr>
          <w:rFonts w:ascii="Arial" w:hAnsi="Arial" w:cs="Arial"/>
          <w:bCs/>
          <w:sz w:val="24"/>
          <w:szCs w:val="24"/>
        </w:rPr>
        <w:t xml:space="preserve">1.2 c) </w:t>
      </w:r>
      <w:r w:rsidR="006A555D" w:rsidRPr="00956D2E">
        <w:rPr>
          <w:rFonts w:ascii="Arial" w:hAnsi="Arial" w:cs="Arial"/>
          <w:bCs/>
          <w:sz w:val="24"/>
          <w:szCs w:val="24"/>
        </w:rPr>
        <w:t>Se solventa de</w:t>
      </w:r>
      <w:r w:rsidR="00383738">
        <w:rPr>
          <w:rFonts w:ascii="Arial" w:hAnsi="Arial" w:cs="Arial"/>
          <w:bCs/>
          <w:sz w:val="24"/>
          <w:szCs w:val="24"/>
        </w:rPr>
        <w:t>rivado que el Organismo presentó</w:t>
      </w:r>
      <w:r w:rsidR="006A555D" w:rsidRPr="00956D2E">
        <w:rPr>
          <w:rFonts w:ascii="Arial" w:hAnsi="Arial" w:cs="Arial"/>
          <w:bCs/>
          <w:sz w:val="24"/>
          <w:szCs w:val="24"/>
        </w:rPr>
        <w:t xml:space="preserve"> documento</w:t>
      </w:r>
      <w:r w:rsidR="00EB4EDC" w:rsidRPr="00956D2E">
        <w:rPr>
          <w:rFonts w:ascii="Arial" w:hAnsi="Arial" w:cs="Arial"/>
          <w:bCs/>
          <w:sz w:val="24"/>
          <w:szCs w:val="24"/>
        </w:rPr>
        <w:t xml:space="preserve"> denominado “</w:t>
      </w:r>
      <w:r w:rsidR="00B2687D" w:rsidRPr="00956D2E">
        <w:rPr>
          <w:rFonts w:ascii="Arial" w:hAnsi="Arial" w:cs="Arial"/>
          <w:bCs/>
          <w:sz w:val="24"/>
          <w:szCs w:val="24"/>
        </w:rPr>
        <w:t>AUTORIZACION DE MOVIMIENTOS AL ESTADO DE CUENTA</w:t>
      </w:r>
      <w:r w:rsidR="00EB4EDC" w:rsidRPr="00956D2E">
        <w:rPr>
          <w:rFonts w:ascii="Arial" w:hAnsi="Arial" w:cs="Arial"/>
          <w:bCs/>
          <w:sz w:val="24"/>
          <w:szCs w:val="24"/>
        </w:rPr>
        <w:t>”</w:t>
      </w:r>
      <w:r w:rsidR="00B2687D" w:rsidRPr="00956D2E">
        <w:rPr>
          <w:rFonts w:ascii="Arial" w:hAnsi="Arial" w:cs="Arial"/>
          <w:bCs/>
          <w:sz w:val="24"/>
          <w:szCs w:val="24"/>
        </w:rPr>
        <w:t xml:space="preserve"> de fecha 29/07/2015 a nombre del José de Jesús Rodríguez Morquecho con clave </w:t>
      </w:r>
      <w:proofErr w:type="spellStart"/>
      <w:r w:rsidR="00B2687D" w:rsidRPr="00956D2E">
        <w:rPr>
          <w:rFonts w:ascii="Arial" w:hAnsi="Arial" w:cs="Arial"/>
          <w:bCs/>
          <w:sz w:val="24"/>
          <w:szCs w:val="24"/>
        </w:rPr>
        <w:t>Siapa</w:t>
      </w:r>
      <w:proofErr w:type="spellEnd"/>
      <w:r w:rsidR="00B2687D" w:rsidRPr="00956D2E">
        <w:rPr>
          <w:rFonts w:ascii="Arial" w:hAnsi="Arial" w:cs="Arial"/>
          <w:bCs/>
          <w:sz w:val="24"/>
          <w:szCs w:val="24"/>
        </w:rPr>
        <w:t xml:space="preserve"> 11-0542-0006 cu</w:t>
      </w:r>
      <w:r w:rsidR="00EB4EDC" w:rsidRPr="00956D2E">
        <w:rPr>
          <w:rFonts w:ascii="Arial" w:hAnsi="Arial" w:cs="Arial"/>
          <w:bCs/>
          <w:sz w:val="24"/>
          <w:szCs w:val="24"/>
        </w:rPr>
        <w:t>enta contrato 10242787 con el que aclararon la diferencia observada.</w:t>
      </w:r>
    </w:p>
    <w:sectPr w:rsidR="00A26D40" w:rsidRPr="00956D2E" w:rsidSect="001E1583">
      <w:headerReference w:type="default" r:id="rId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797" w:rsidRDefault="00BF4797" w:rsidP="001E1583">
      <w:pPr>
        <w:spacing w:after="0" w:line="240" w:lineRule="auto"/>
      </w:pPr>
      <w:r>
        <w:separator/>
      </w:r>
    </w:p>
  </w:endnote>
  <w:endnote w:type="continuationSeparator" w:id="0">
    <w:p w:rsidR="00BF4797" w:rsidRDefault="00BF4797" w:rsidP="001E1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797" w:rsidRDefault="00BF4797" w:rsidP="001E1583">
      <w:pPr>
        <w:spacing w:after="0" w:line="240" w:lineRule="auto"/>
      </w:pPr>
      <w:r>
        <w:separator/>
      </w:r>
    </w:p>
  </w:footnote>
  <w:footnote w:type="continuationSeparator" w:id="0">
    <w:p w:rsidR="00BF4797" w:rsidRDefault="00BF4797" w:rsidP="001E1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587"/>
      <w:gridCol w:w="5467"/>
    </w:tblGrid>
    <w:tr w:rsidR="00C84272" w:rsidRPr="0002416F" w:rsidTr="008F716E">
      <w:trPr>
        <w:trHeight w:val="230"/>
      </w:trPr>
      <w:tc>
        <w:tcPr>
          <w:tcW w:w="3632" w:type="dxa"/>
          <w:vMerge w:val="restart"/>
          <w:shd w:val="clear" w:color="auto" w:fill="auto"/>
        </w:tcPr>
        <w:tbl>
          <w:tblPr>
            <w:tblW w:w="0" w:type="auto"/>
            <w:tblLook w:val="04A0" w:firstRow="1" w:lastRow="0" w:firstColumn="1" w:lastColumn="0" w:noHBand="0" w:noVBand="1"/>
          </w:tblPr>
          <w:tblGrid>
            <w:gridCol w:w="3371"/>
          </w:tblGrid>
          <w:tr w:rsidR="00C84272" w:rsidRPr="0002416F" w:rsidTr="008F716E">
            <w:trPr>
              <w:trHeight w:val="230"/>
            </w:trPr>
            <w:tc>
              <w:tcPr>
                <w:tcW w:w="3416" w:type="dxa"/>
                <w:shd w:val="clear" w:color="auto" w:fill="auto"/>
              </w:tcPr>
              <w:p w:rsidR="00C84272" w:rsidRPr="0002416F" w:rsidRDefault="00C84272" w:rsidP="008F716E">
                <w:pPr>
                  <w:pStyle w:val="Encabezado"/>
                  <w:jc w:val="both"/>
                  <w:rPr>
                    <w:noProof/>
                    <w:lang w:eastAsia="es-MX"/>
                  </w:rPr>
                </w:pPr>
                <w:r>
                  <w:rPr>
                    <w:noProof/>
                    <w:lang w:eastAsia="es-MX"/>
                  </w:rPr>
                  <w:drawing>
                    <wp:inline distT="0" distB="0" distL="0" distR="0" wp14:anchorId="3F1FDA4B" wp14:editId="440651A1">
                      <wp:extent cx="1609725" cy="438150"/>
                      <wp:effectExtent l="0" t="0" r="0" b="0"/>
                      <wp:docPr id="1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09725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Pr="0002416F">
                  <w:rPr>
                    <w:noProof/>
                    <w:lang w:eastAsia="es-MX"/>
                  </w:rPr>
                  <w:t xml:space="preserve">                     </w:t>
                </w:r>
              </w:p>
            </w:tc>
          </w:tr>
        </w:tbl>
        <w:p w:rsidR="00C84272" w:rsidRPr="0002416F" w:rsidRDefault="00C84272" w:rsidP="008F716E">
          <w:pPr>
            <w:pStyle w:val="Encabezado"/>
            <w:jc w:val="both"/>
            <w:rPr>
              <w:noProof/>
              <w:lang w:eastAsia="es-MX"/>
            </w:rPr>
          </w:pPr>
          <w:r w:rsidRPr="0002416F">
            <w:rPr>
              <w:noProof/>
              <w:lang w:eastAsia="es-MX"/>
            </w:rPr>
            <w:t xml:space="preserve">   </w:t>
          </w:r>
        </w:p>
      </w:tc>
      <w:tc>
        <w:tcPr>
          <w:tcW w:w="5656" w:type="dxa"/>
          <w:shd w:val="clear" w:color="auto" w:fill="auto"/>
        </w:tcPr>
        <w:p w:rsidR="00C84272" w:rsidRPr="0002416F" w:rsidRDefault="00C84272" w:rsidP="008F716E">
          <w:pPr>
            <w:pStyle w:val="Encabezado"/>
            <w:jc w:val="both"/>
            <w:rPr>
              <w:rFonts w:ascii="Arial" w:hAnsi="Arial" w:cs="Arial"/>
              <w:b/>
              <w:w w:val="200"/>
            </w:rPr>
          </w:pPr>
        </w:p>
        <w:p w:rsidR="00C84272" w:rsidRPr="0002416F" w:rsidRDefault="00C84272" w:rsidP="008F716E">
          <w:pPr>
            <w:pStyle w:val="Encabezado"/>
            <w:jc w:val="right"/>
            <w:rPr>
              <w:noProof/>
              <w:lang w:eastAsia="es-MX"/>
            </w:rPr>
          </w:pPr>
          <w:r w:rsidRPr="0002416F">
            <w:rPr>
              <w:rFonts w:ascii="Arial" w:hAnsi="Arial" w:cs="Arial"/>
              <w:b/>
              <w:w w:val="200"/>
            </w:rPr>
            <w:t>Anexo Of. DGP/</w:t>
          </w:r>
          <w:r>
            <w:rPr>
              <w:rFonts w:ascii="Arial" w:hAnsi="Arial" w:cs="Arial"/>
              <w:b/>
              <w:w w:val="200"/>
            </w:rPr>
            <w:t>2133/19</w:t>
          </w:r>
          <w:r w:rsidRPr="0002416F">
            <w:rPr>
              <w:rFonts w:ascii="Arial" w:hAnsi="Arial" w:cs="Arial"/>
              <w:b/>
              <w:w w:val="200"/>
            </w:rPr>
            <w:t xml:space="preserve">                                                                                                                                                             </w:t>
          </w:r>
        </w:p>
      </w:tc>
    </w:tr>
    <w:tr w:rsidR="00C84272" w:rsidRPr="00963234" w:rsidTr="008F716E">
      <w:trPr>
        <w:trHeight w:val="254"/>
      </w:trPr>
      <w:tc>
        <w:tcPr>
          <w:tcW w:w="3632" w:type="dxa"/>
          <w:vMerge/>
          <w:shd w:val="clear" w:color="auto" w:fill="auto"/>
        </w:tcPr>
        <w:p w:rsidR="00C84272" w:rsidRPr="00963234" w:rsidRDefault="00C84272" w:rsidP="008F716E">
          <w:pPr>
            <w:pStyle w:val="Encabezado"/>
            <w:rPr>
              <w:noProof/>
              <w:sz w:val="18"/>
              <w:szCs w:val="18"/>
              <w:u w:val="single"/>
              <w:lang w:eastAsia="es-MX"/>
            </w:rPr>
          </w:pPr>
        </w:p>
      </w:tc>
      <w:tc>
        <w:tcPr>
          <w:tcW w:w="5656" w:type="dxa"/>
          <w:shd w:val="clear" w:color="auto" w:fill="auto"/>
        </w:tcPr>
        <w:p w:rsidR="00C84272" w:rsidRPr="00963234" w:rsidRDefault="00C84272" w:rsidP="008F716E">
          <w:pPr>
            <w:pStyle w:val="Encabezado"/>
            <w:jc w:val="right"/>
            <w:rPr>
              <w:noProof/>
              <w:sz w:val="18"/>
              <w:szCs w:val="18"/>
              <w:u w:val="single"/>
              <w:lang w:eastAsia="es-MX"/>
            </w:rPr>
          </w:pPr>
          <w:r>
            <w:rPr>
              <w:rStyle w:val="Nmerodepgina"/>
              <w:rFonts w:ascii="Arial" w:hAnsi="Arial" w:cs="Arial"/>
              <w:b/>
              <w:sz w:val="18"/>
              <w:szCs w:val="18"/>
              <w:u w:val="single"/>
            </w:rPr>
            <w:t>1º SEGUIMIENTO DE OBSERVACIONES</w:t>
          </w:r>
          <w:r w:rsidRPr="00963234">
            <w:rPr>
              <w:rStyle w:val="Nmerodepgina"/>
              <w:rFonts w:ascii="Arial" w:hAnsi="Arial" w:cs="Arial"/>
              <w:b/>
              <w:sz w:val="18"/>
              <w:szCs w:val="18"/>
              <w:u w:val="single"/>
            </w:rPr>
            <w:t xml:space="preserve"> DE AUDITORIA</w:t>
          </w:r>
        </w:p>
      </w:tc>
    </w:tr>
  </w:tbl>
  <w:p w:rsidR="00AF2C5C" w:rsidRDefault="0030449B" w:rsidP="001E1583">
    <w:pPr>
      <w:jc w:val="center"/>
      <w:rPr>
        <w:rFonts w:ascii="Arial Rounded MT Bold" w:eastAsia="Arial Unicode MS" w:hAnsi="Arial Rounded MT Bold" w:cs="Arial"/>
        <w:sz w:val="28"/>
        <w:szCs w:val="28"/>
        <w:lang w:val="es-ES_tradnl"/>
      </w:rPr>
    </w:pPr>
    <w:r>
      <w:rPr>
        <w:rFonts w:ascii="Arial Rounded MT Bold" w:eastAsia="Arial Unicode MS" w:hAnsi="Arial Rounded MT Bold" w:cs="Arial"/>
        <w:sz w:val="28"/>
        <w:szCs w:val="28"/>
        <w:lang w:val="es-ES_tradnl"/>
      </w:rPr>
      <w:t>Sistema Intermunicipal de los Servicios de Agua Potable y Alcantarillado</w:t>
    </w:r>
    <w:r w:rsidR="00383738">
      <w:rPr>
        <w:rFonts w:ascii="Arial Rounded MT Bold" w:eastAsia="Arial Unicode MS" w:hAnsi="Arial Rounded MT Bold" w:cs="Arial"/>
        <w:sz w:val="28"/>
        <w:szCs w:val="28"/>
        <w:lang w:val="es-ES_tradnl"/>
      </w:rPr>
      <w:t xml:space="preserve"> </w:t>
    </w:r>
    <w:r w:rsidR="00B01467">
      <w:rPr>
        <w:rFonts w:ascii="Arial Rounded MT Bold" w:eastAsia="Arial Unicode MS" w:hAnsi="Arial Rounded MT Bold" w:cs="Arial"/>
        <w:sz w:val="28"/>
        <w:szCs w:val="28"/>
        <w:lang w:val="es-ES_tradnl"/>
      </w:rPr>
      <w:t>(</w:t>
    </w:r>
    <w:r>
      <w:rPr>
        <w:rFonts w:ascii="Arial Rounded MT Bold" w:eastAsia="Arial Unicode MS" w:hAnsi="Arial Rounded MT Bold" w:cs="Arial"/>
        <w:sz w:val="28"/>
        <w:szCs w:val="28"/>
        <w:lang w:val="es-ES_tradnl"/>
      </w:rPr>
      <w:t>SIAPA</w:t>
    </w:r>
    <w:r w:rsidR="00B01467">
      <w:rPr>
        <w:rFonts w:ascii="Arial Rounded MT Bold" w:eastAsia="Arial Unicode MS" w:hAnsi="Arial Rounded MT Bold" w:cs="Arial"/>
        <w:sz w:val="28"/>
        <w:szCs w:val="28"/>
        <w:lang w:val="es-ES_tradnl"/>
      </w:rPr>
      <w:t>)</w:t>
    </w:r>
  </w:p>
  <w:p w:rsidR="001E1583" w:rsidRPr="001354B6" w:rsidRDefault="00B01467" w:rsidP="001E1583">
    <w:pPr>
      <w:jc w:val="center"/>
      <w:rPr>
        <w:rFonts w:ascii="Arial Rounded MT Bold" w:hAnsi="Arial Rounded MT Bold" w:cs="Arial"/>
        <w:sz w:val="20"/>
        <w:szCs w:val="20"/>
      </w:rPr>
    </w:pPr>
    <w:r>
      <w:rPr>
        <w:rFonts w:ascii="Arial Rounded MT Bold" w:hAnsi="Arial Rounded MT Bold" w:cs="Arial"/>
        <w:bCs/>
        <w:szCs w:val="18"/>
        <w:lang w:val="es-ES_tradnl" w:eastAsia="es-ES_tradnl"/>
      </w:rPr>
      <w:t>Del 1 de enero al 31 de Diciembre del 201</w:t>
    </w:r>
    <w:r w:rsidR="0030449B">
      <w:rPr>
        <w:rFonts w:ascii="Arial Rounded MT Bold" w:hAnsi="Arial Rounded MT Bold" w:cs="Arial"/>
        <w:bCs/>
        <w:szCs w:val="18"/>
        <w:lang w:val="es-ES_tradnl" w:eastAsia="es-ES_tradnl"/>
      </w:rPr>
      <w:t>5</w:t>
    </w:r>
    <w:r>
      <w:rPr>
        <w:rFonts w:ascii="Arial Rounded MT Bold" w:hAnsi="Arial Rounded MT Bold" w:cs="Arial"/>
        <w:bCs/>
        <w:szCs w:val="18"/>
        <w:lang w:val="es-ES_tradnl" w:eastAsia="es-ES_tradnl"/>
      </w:rPr>
      <w:t xml:space="preserve"> y eventos posteriores</w:t>
    </w:r>
  </w:p>
  <w:p w:rsidR="001E1583" w:rsidRPr="00B12C2D" w:rsidRDefault="001E1583" w:rsidP="001E1583">
    <w:pPr>
      <w:jc w:val="center"/>
      <w:rPr>
        <w:rFonts w:ascii="Arial Rounded MT Bold" w:hAnsi="Arial Rounded MT Bold" w:cs="Arial"/>
        <w:b/>
        <w:sz w:val="28"/>
        <w:szCs w:val="28"/>
      </w:rPr>
    </w:pPr>
    <w:r w:rsidRPr="00B12C2D">
      <w:rPr>
        <w:rFonts w:ascii="Arial Rounded MT Bold" w:hAnsi="Arial Rounded MT Bold" w:cs="Arial"/>
        <w:b/>
        <w:sz w:val="28"/>
        <w:szCs w:val="28"/>
      </w:rPr>
      <w:t xml:space="preserve">ANEXO  </w:t>
    </w:r>
    <w:r w:rsidR="00721C36">
      <w:rPr>
        <w:rFonts w:ascii="Arial Rounded MT Bold" w:hAnsi="Arial Rounded MT Bold" w:cs="Arial"/>
        <w:b/>
        <w:sz w:val="28"/>
        <w:szCs w:val="28"/>
      </w:rPr>
      <w:t>“</w:t>
    </w:r>
    <w:r w:rsidR="00AA4EE0">
      <w:rPr>
        <w:rFonts w:ascii="Arial Rounded MT Bold" w:hAnsi="Arial Rounded MT Bold" w:cs="Arial"/>
        <w:b/>
        <w:sz w:val="28"/>
        <w:szCs w:val="28"/>
      </w:rPr>
      <w:t>BB</w:t>
    </w:r>
    <w:r w:rsidR="00721C36">
      <w:rPr>
        <w:rFonts w:ascii="Arial Rounded MT Bold" w:hAnsi="Arial Rounded MT Bold" w:cs="Arial"/>
        <w:b/>
        <w:sz w:val="28"/>
        <w:szCs w:val="28"/>
      </w:rPr>
      <w:t>”</w:t>
    </w:r>
  </w:p>
  <w:p w:rsidR="001E1583" w:rsidRPr="001E1583" w:rsidRDefault="00721C36" w:rsidP="001E1583">
    <w:pPr>
      <w:jc w:val="center"/>
      <w:rPr>
        <w:rFonts w:ascii="Arial Rounded MT Bold" w:hAnsi="Arial Rounded MT Bold"/>
        <w:sz w:val="28"/>
        <w:szCs w:val="28"/>
      </w:rPr>
    </w:pPr>
    <w:r>
      <w:rPr>
        <w:rFonts w:ascii="Arial Rounded MT Bold" w:hAnsi="Arial Rounded MT Bold"/>
        <w:sz w:val="28"/>
        <w:szCs w:val="28"/>
      </w:rPr>
      <w:t>Conclusión OEC</w:t>
    </w:r>
    <w:r w:rsidR="001E1583" w:rsidRPr="00B12C2D">
      <w:rPr>
        <w:rFonts w:ascii="Arial Rounded MT Bold" w:hAnsi="Arial Rounded MT Bold"/>
        <w:sz w:val="28"/>
        <w:szCs w:val="28"/>
      </w:rPr>
      <w:t xml:space="preserve"> de la Observación No.1.</w:t>
    </w:r>
    <w:r w:rsidR="00AA4EE0">
      <w:rPr>
        <w:rFonts w:ascii="Arial Rounded MT Bold" w:hAnsi="Arial Rounded MT Bold"/>
        <w:sz w:val="28"/>
        <w:szCs w:val="28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F7A5270"/>
    <w:multiLevelType w:val="hybridMultilevel"/>
    <w:tmpl w:val="A0C0845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65145F"/>
    <w:multiLevelType w:val="hybridMultilevel"/>
    <w:tmpl w:val="2686262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1583"/>
    <w:rsid w:val="00037DC7"/>
    <w:rsid w:val="000753AA"/>
    <w:rsid w:val="000A717A"/>
    <w:rsid w:val="00110CEE"/>
    <w:rsid w:val="001267EA"/>
    <w:rsid w:val="00177A46"/>
    <w:rsid w:val="001E1583"/>
    <w:rsid w:val="00293C40"/>
    <w:rsid w:val="002A33CC"/>
    <w:rsid w:val="002A54D8"/>
    <w:rsid w:val="002A6375"/>
    <w:rsid w:val="0030449B"/>
    <w:rsid w:val="0033387E"/>
    <w:rsid w:val="00382AE4"/>
    <w:rsid w:val="00383738"/>
    <w:rsid w:val="00390A61"/>
    <w:rsid w:val="00394397"/>
    <w:rsid w:val="00430820"/>
    <w:rsid w:val="00483AF2"/>
    <w:rsid w:val="004A33CF"/>
    <w:rsid w:val="004F595F"/>
    <w:rsid w:val="005A240F"/>
    <w:rsid w:val="005E6DCC"/>
    <w:rsid w:val="00630B71"/>
    <w:rsid w:val="00631F0C"/>
    <w:rsid w:val="00674433"/>
    <w:rsid w:val="00687522"/>
    <w:rsid w:val="006A555D"/>
    <w:rsid w:val="00721C36"/>
    <w:rsid w:val="00822A9C"/>
    <w:rsid w:val="00874C0D"/>
    <w:rsid w:val="0088234F"/>
    <w:rsid w:val="00897918"/>
    <w:rsid w:val="008F3F49"/>
    <w:rsid w:val="00956D2E"/>
    <w:rsid w:val="00960859"/>
    <w:rsid w:val="00963297"/>
    <w:rsid w:val="00A10A49"/>
    <w:rsid w:val="00A26D40"/>
    <w:rsid w:val="00A27848"/>
    <w:rsid w:val="00A41A5B"/>
    <w:rsid w:val="00A76E13"/>
    <w:rsid w:val="00A917AC"/>
    <w:rsid w:val="00AA4EE0"/>
    <w:rsid w:val="00AF2C5C"/>
    <w:rsid w:val="00AF6314"/>
    <w:rsid w:val="00B01467"/>
    <w:rsid w:val="00B2687D"/>
    <w:rsid w:val="00B45895"/>
    <w:rsid w:val="00B62D86"/>
    <w:rsid w:val="00B821EB"/>
    <w:rsid w:val="00BA0618"/>
    <w:rsid w:val="00BA7E4E"/>
    <w:rsid w:val="00BD17BB"/>
    <w:rsid w:val="00BD7357"/>
    <w:rsid w:val="00BF4797"/>
    <w:rsid w:val="00C43C7F"/>
    <w:rsid w:val="00C5111E"/>
    <w:rsid w:val="00C60BB5"/>
    <w:rsid w:val="00C84272"/>
    <w:rsid w:val="00C9183B"/>
    <w:rsid w:val="00CA5411"/>
    <w:rsid w:val="00CF4447"/>
    <w:rsid w:val="00D0633F"/>
    <w:rsid w:val="00D57A2C"/>
    <w:rsid w:val="00D72F68"/>
    <w:rsid w:val="00D77A42"/>
    <w:rsid w:val="00D80D0E"/>
    <w:rsid w:val="00DA55A8"/>
    <w:rsid w:val="00E4227D"/>
    <w:rsid w:val="00EB4EDC"/>
    <w:rsid w:val="00ED0335"/>
    <w:rsid w:val="00ED254B"/>
    <w:rsid w:val="00EE4ED5"/>
    <w:rsid w:val="00F24D75"/>
    <w:rsid w:val="00F361BF"/>
    <w:rsid w:val="00F679AB"/>
    <w:rsid w:val="00FF05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A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1E15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1E1583"/>
  </w:style>
  <w:style w:type="paragraph" w:styleId="Piedepgina">
    <w:name w:val="footer"/>
    <w:basedOn w:val="Normal"/>
    <w:link w:val="PiedepginaCar"/>
    <w:uiPriority w:val="99"/>
    <w:unhideWhenUsed/>
    <w:rsid w:val="001E15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1583"/>
  </w:style>
  <w:style w:type="paragraph" w:styleId="Textodeglobo">
    <w:name w:val="Balloon Text"/>
    <w:basedOn w:val="Normal"/>
    <w:link w:val="TextodegloboCar"/>
    <w:uiPriority w:val="99"/>
    <w:semiHidden/>
    <w:unhideWhenUsed/>
    <w:rsid w:val="001E1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158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304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2687D"/>
    <w:pPr>
      <w:ind w:left="720"/>
      <w:contextualSpacing/>
    </w:pPr>
  </w:style>
  <w:style w:type="character" w:styleId="Nmerodepgina">
    <w:name w:val="page number"/>
    <w:basedOn w:val="Fuentedeprrafopredeter"/>
    <w:rsid w:val="00C842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254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Emilio Perez Elizalde</dc:creator>
  <cp:lastModifiedBy>Angelina Paniagua</cp:lastModifiedBy>
  <cp:revision>12</cp:revision>
  <cp:lastPrinted>2019-05-23T17:11:00Z</cp:lastPrinted>
  <dcterms:created xsi:type="dcterms:W3CDTF">2019-03-22T15:50:00Z</dcterms:created>
  <dcterms:modified xsi:type="dcterms:W3CDTF">2019-05-23T17:11:00Z</dcterms:modified>
</cp:coreProperties>
</file>