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E2" w:rsidRDefault="008334E2" w:rsidP="00731503">
      <w:pPr>
        <w:jc w:val="both"/>
        <w:rPr>
          <w:rFonts w:ascii="Arial" w:hAnsi="Arial" w:cs="Arial"/>
          <w:b/>
          <w:bCs/>
          <w:sz w:val="18"/>
          <w:szCs w:val="18"/>
        </w:rPr>
      </w:pPr>
    </w:p>
    <w:p w:rsidR="000779E7" w:rsidRPr="00C74E4E" w:rsidRDefault="00BD6A17" w:rsidP="00731503">
      <w:pPr>
        <w:jc w:val="both"/>
        <w:rPr>
          <w:rFonts w:ascii="Arial" w:hAnsi="Arial" w:cs="Arial"/>
          <w:bCs/>
          <w:sz w:val="18"/>
          <w:szCs w:val="18"/>
        </w:rPr>
      </w:pPr>
      <w:r w:rsidRPr="00C74E4E">
        <w:rPr>
          <w:rFonts w:ascii="Arial" w:hAnsi="Arial" w:cs="Arial"/>
          <w:b/>
          <w:bCs/>
          <w:sz w:val="18"/>
          <w:szCs w:val="18"/>
        </w:rPr>
        <w:t>1.3</w:t>
      </w:r>
      <w:r w:rsidR="00AA4EE0" w:rsidRPr="00C74E4E">
        <w:rPr>
          <w:rFonts w:ascii="Arial" w:hAnsi="Arial" w:cs="Arial"/>
          <w:b/>
          <w:bCs/>
          <w:sz w:val="18"/>
          <w:szCs w:val="18"/>
        </w:rPr>
        <w:t xml:space="preserve"> a)</w:t>
      </w:r>
      <w:r w:rsidR="004F1F27" w:rsidRPr="00C74E4E">
        <w:rPr>
          <w:rFonts w:ascii="Arial" w:hAnsi="Arial" w:cs="Arial"/>
          <w:bCs/>
          <w:sz w:val="18"/>
          <w:szCs w:val="18"/>
        </w:rPr>
        <w:t xml:space="preserve">  </w:t>
      </w:r>
      <w:r w:rsidR="004F1F27" w:rsidRPr="00EA24C4">
        <w:rPr>
          <w:rFonts w:ascii="Arial" w:hAnsi="Arial" w:cs="Arial"/>
          <w:b/>
          <w:bCs/>
          <w:sz w:val="18"/>
          <w:szCs w:val="18"/>
        </w:rPr>
        <w:t>S</w:t>
      </w:r>
      <w:r w:rsidR="000779E7" w:rsidRPr="00EA24C4">
        <w:rPr>
          <w:rFonts w:ascii="Arial" w:hAnsi="Arial" w:cs="Arial"/>
          <w:b/>
          <w:bCs/>
          <w:sz w:val="18"/>
          <w:szCs w:val="18"/>
        </w:rPr>
        <w:t>olventada</w:t>
      </w:r>
      <w:r w:rsidR="000779E7" w:rsidRPr="00C74E4E">
        <w:rPr>
          <w:rFonts w:ascii="Arial" w:hAnsi="Arial" w:cs="Arial"/>
          <w:bCs/>
          <w:sz w:val="18"/>
          <w:szCs w:val="18"/>
        </w:rPr>
        <w:t xml:space="preserve"> ya que el análisis de los siguientes tres incisos (b,</w:t>
      </w:r>
      <w:r w:rsidR="00731503" w:rsidRPr="00C74E4E">
        <w:rPr>
          <w:rFonts w:ascii="Arial" w:hAnsi="Arial" w:cs="Arial"/>
          <w:bCs/>
          <w:sz w:val="18"/>
          <w:szCs w:val="18"/>
        </w:rPr>
        <w:t xml:space="preserve"> </w:t>
      </w:r>
      <w:r w:rsidR="000779E7" w:rsidRPr="00C74E4E">
        <w:rPr>
          <w:rFonts w:ascii="Arial" w:hAnsi="Arial" w:cs="Arial"/>
          <w:bCs/>
          <w:sz w:val="18"/>
          <w:szCs w:val="18"/>
        </w:rPr>
        <w:t>c y d) desglosan la explicación de los $61,747.00.</w:t>
      </w:r>
    </w:p>
    <w:p w:rsidR="00AA4EE0" w:rsidRPr="00C74E4E" w:rsidRDefault="000779E7" w:rsidP="00EA24C4">
      <w:pPr>
        <w:jc w:val="both"/>
        <w:rPr>
          <w:rFonts w:ascii="Arial" w:hAnsi="Arial" w:cs="Arial"/>
          <w:bCs/>
          <w:color w:val="FF0000"/>
          <w:sz w:val="18"/>
          <w:szCs w:val="18"/>
        </w:rPr>
      </w:pPr>
      <w:r w:rsidRPr="00C74E4E">
        <w:rPr>
          <w:rFonts w:ascii="Arial" w:hAnsi="Arial" w:cs="Arial"/>
          <w:bCs/>
          <w:sz w:val="18"/>
          <w:szCs w:val="18"/>
        </w:rPr>
        <w:t xml:space="preserve">Además de manifiestan que </w:t>
      </w:r>
      <w:r w:rsidR="00762A9E" w:rsidRPr="00C74E4E">
        <w:rPr>
          <w:rFonts w:ascii="Arial" w:hAnsi="Arial" w:cs="Arial"/>
          <w:bCs/>
          <w:sz w:val="18"/>
          <w:szCs w:val="18"/>
        </w:rPr>
        <w:t>el saldo que refleja la cuenta contable 1120008 denominada “Prestamos a Trabajadores” se integra por el traspaso que efectúa la Subdirección de Recursos Humanos. La sección de Egresos y Control Presupuestal no realiza ningún registro contable a la misma.</w:t>
      </w:r>
      <w:r w:rsidR="004F1F27" w:rsidRPr="00C74E4E">
        <w:rPr>
          <w:rFonts w:ascii="Arial" w:hAnsi="Arial" w:cs="Arial"/>
          <w:bCs/>
          <w:sz w:val="18"/>
          <w:szCs w:val="18"/>
        </w:rPr>
        <w:t xml:space="preserve"> </w:t>
      </w:r>
    </w:p>
    <w:p w:rsidR="009259DC" w:rsidRPr="009259DC" w:rsidRDefault="00BD6A17" w:rsidP="00731503">
      <w:pPr>
        <w:spacing w:after="0"/>
        <w:ind w:right="-518"/>
        <w:jc w:val="both"/>
        <w:rPr>
          <w:rFonts w:ascii="Arial" w:hAnsi="Arial" w:cs="Arial"/>
          <w:b/>
          <w:bCs/>
          <w:sz w:val="18"/>
          <w:szCs w:val="18"/>
        </w:rPr>
      </w:pPr>
      <w:r w:rsidRPr="00C74E4E">
        <w:rPr>
          <w:rFonts w:ascii="Arial" w:hAnsi="Arial" w:cs="Arial"/>
          <w:b/>
          <w:bCs/>
          <w:sz w:val="18"/>
          <w:szCs w:val="18"/>
        </w:rPr>
        <w:t>1.3 b</w:t>
      </w:r>
      <w:r w:rsidRPr="009259DC">
        <w:rPr>
          <w:rFonts w:ascii="Arial" w:hAnsi="Arial" w:cs="Arial"/>
          <w:b/>
          <w:bCs/>
          <w:sz w:val="18"/>
          <w:szCs w:val="18"/>
        </w:rPr>
        <w:t>)</w:t>
      </w:r>
      <w:r w:rsidR="004F1F27" w:rsidRPr="009259DC">
        <w:rPr>
          <w:rFonts w:ascii="Arial" w:hAnsi="Arial" w:cs="Arial"/>
          <w:b/>
          <w:bCs/>
          <w:sz w:val="18"/>
          <w:szCs w:val="18"/>
        </w:rPr>
        <w:t xml:space="preserve"> </w:t>
      </w:r>
      <w:r w:rsidR="009259DC" w:rsidRPr="009259DC">
        <w:rPr>
          <w:rFonts w:ascii="Arial" w:hAnsi="Arial" w:cs="Arial"/>
          <w:bCs/>
          <w:sz w:val="18"/>
          <w:szCs w:val="18"/>
        </w:rPr>
        <w:t>Por los siguientes trabajadore</w:t>
      </w:r>
      <w:r w:rsidR="009259DC">
        <w:rPr>
          <w:rFonts w:ascii="Arial" w:hAnsi="Arial" w:cs="Arial"/>
          <w:bCs/>
          <w:sz w:val="18"/>
          <w:szCs w:val="18"/>
        </w:rPr>
        <w:t xml:space="preserve">s </w:t>
      </w:r>
      <w:r w:rsidR="009259DC" w:rsidRPr="009259DC">
        <w:rPr>
          <w:rFonts w:ascii="Arial" w:hAnsi="Arial" w:cs="Arial"/>
          <w:b/>
          <w:bCs/>
          <w:sz w:val="18"/>
          <w:szCs w:val="18"/>
        </w:rPr>
        <w:t>se solventa:</w:t>
      </w:r>
    </w:p>
    <w:p w:rsidR="009259DC" w:rsidRDefault="009259DC" w:rsidP="009259DC">
      <w:pPr>
        <w:spacing w:after="0"/>
        <w:ind w:right="-518"/>
        <w:jc w:val="both"/>
        <w:rPr>
          <w:rFonts w:ascii="Arial" w:hAnsi="Arial" w:cs="Arial"/>
          <w:sz w:val="20"/>
        </w:rPr>
      </w:pPr>
      <w:r>
        <w:rPr>
          <w:rFonts w:ascii="Arial" w:hAnsi="Arial" w:cs="Arial"/>
          <w:sz w:val="20"/>
        </w:rPr>
        <w:t xml:space="preserve">Guerra Sánchez Karla </w:t>
      </w:r>
      <w:proofErr w:type="spellStart"/>
      <w:r>
        <w:rPr>
          <w:rFonts w:ascii="Arial" w:hAnsi="Arial" w:cs="Arial"/>
          <w:sz w:val="20"/>
        </w:rPr>
        <w:t>Lizette</w:t>
      </w:r>
      <w:proofErr w:type="spellEnd"/>
    </w:p>
    <w:p w:rsidR="009259DC" w:rsidRDefault="009259DC" w:rsidP="009259DC">
      <w:pPr>
        <w:spacing w:after="0"/>
        <w:ind w:right="-518"/>
        <w:jc w:val="both"/>
        <w:rPr>
          <w:rFonts w:ascii="Arial" w:hAnsi="Arial" w:cs="Arial"/>
          <w:sz w:val="20"/>
        </w:rPr>
      </w:pPr>
      <w:r>
        <w:rPr>
          <w:rFonts w:ascii="Arial" w:hAnsi="Arial" w:cs="Arial"/>
          <w:sz w:val="20"/>
        </w:rPr>
        <w:t>Aguilar Díaz César Miguel</w:t>
      </w:r>
    </w:p>
    <w:p w:rsidR="009259DC" w:rsidRDefault="009259DC" w:rsidP="009259DC">
      <w:pPr>
        <w:spacing w:after="0"/>
        <w:ind w:right="-518"/>
        <w:jc w:val="both"/>
        <w:rPr>
          <w:rFonts w:ascii="Arial" w:hAnsi="Arial" w:cs="Arial"/>
          <w:sz w:val="20"/>
        </w:rPr>
      </w:pPr>
      <w:proofErr w:type="spellStart"/>
      <w:r>
        <w:rPr>
          <w:rFonts w:ascii="Arial" w:hAnsi="Arial" w:cs="Arial"/>
          <w:sz w:val="20"/>
        </w:rPr>
        <w:t>Diosdado</w:t>
      </w:r>
      <w:proofErr w:type="spellEnd"/>
      <w:r>
        <w:rPr>
          <w:rFonts w:ascii="Arial" w:hAnsi="Arial" w:cs="Arial"/>
          <w:sz w:val="20"/>
        </w:rPr>
        <w:t xml:space="preserve"> Martínez Armando</w:t>
      </w:r>
    </w:p>
    <w:p w:rsidR="009259DC" w:rsidRDefault="009259DC" w:rsidP="009259DC">
      <w:pPr>
        <w:spacing w:after="0"/>
        <w:ind w:right="-518"/>
        <w:jc w:val="both"/>
        <w:rPr>
          <w:rFonts w:ascii="Arial" w:hAnsi="Arial" w:cs="Arial"/>
          <w:sz w:val="20"/>
        </w:rPr>
      </w:pPr>
      <w:r>
        <w:rPr>
          <w:rFonts w:ascii="Arial" w:hAnsi="Arial" w:cs="Arial"/>
          <w:sz w:val="20"/>
        </w:rPr>
        <w:t>Infante Muñoz Joel</w:t>
      </w:r>
    </w:p>
    <w:p w:rsidR="009259DC" w:rsidRDefault="009259DC" w:rsidP="009259DC">
      <w:pPr>
        <w:spacing w:after="0"/>
        <w:ind w:right="-518"/>
        <w:jc w:val="both"/>
        <w:rPr>
          <w:rFonts w:ascii="Arial" w:hAnsi="Arial" w:cs="Arial"/>
          <w:sz w:val="20"/>
        </w:rPr>
      </w:pPr>
      <w:r>
        <w:rPr>
          <w:rFonts w:ascii="Arial" w:hAnsi="Arial" w:cs="Arial"/>
          <w:sz w:val="20"/>
        </w:rPr>
        <w:t>Virgen Huerta Rafael</w:t>
      </w:r>
    </w:p>
    <w:p w:rsidR="009259DC" w:rsidRDefault="009259DC" w:rsidP="009259DC">
      <w:pPr>
        <w:spacing w:after="0"/>
        <w:ind w:right="-518"/>
        <w:jc w:val="both"/>
        <w:rPr>
          <w:rFonts w:ascii="Arial" w:hAnsi="Arial" w:cs="Arial"/>
          <w:sz w:val="20"/>
        </w:rPr>
      </w:pPr>
      <w:r>
        <w:rPr>
          <w:rFonts w:ascii="Arial" w:hAnsi="Arial" w:cs="Arial"/>
          <w:sz w:val="20"/>
        </w:rPr>
        <w:t>Blanco García Guillermo</w:t>
      </w:r>
    </w:p>
    <w:p w:rsidR="009259DC" w:rsidRDefault="009259DC" w:rsidP="009259DC">
      <w:pPr>
        <w:spacing w:after="0"/>
        <w:ind w:right="-518"/>
        <w:jc w:val="both"/>
        <w:rPr>
          <w:rFonts w:ascii="Arial" w:hAnsi="Arial" w:cs="Arial"/>
          <w:sz w:val="20"/>
        </w:rPr>
      </w:pPr>
      <w:r>
        <w:rPr>
          <w:rFonts w:ascii="Arial" w:hAnsi="Arial" w:cs="Arial"/>
          <w:sz w:val="20"/>
        </w:rPr>
        <w:t>Anguiano Jiménez Paulino</w:t>
      </w:r>
    </w:p>
    <w:p w:rsidR="009259DC" w:rsidRDefault="009259DC" w:rsidP="009259DC">
      <w:pPr>
        <w:spacing w:after="0"/>
        <w:ind w:right="-518"/>
        <w:jc w:val="both"/>
        <w:rPr>
          <w:rFonts w:ascii="Arial" w:hAnsi="Arial" w:cs="Arial"/>
          <w:sz w:val="20"/>
        </w:rPr>
      </w:pPr>
      <w:r>
        <w:rPr>
          <w:rFonts w:ascii="Arial" w:hAnsi="Arial" w:cs="Arial"/>
          <w:sz w:val="20"/>
        </w:rPr>
        <w:t>González Robles Antonio</w:t>
      </w:r>
    </w:p>
    <w:p w:rsidR="009259DC" w:rsidRDefault="009259DC" w:rsidP="009259DC">
      <w:pPr>
        <w:spacing w:after="0"/>
        <w:ind w:right="-518"/>
        <w:jc w:val="both"/>
        <w:rPr>
          <w:rFonts w:ascii="Arial" w:hAnsi="Arial" w:cs="Arial"/>
          <w:sz w:val="20"/>
        </w:rPr>
      </w:pPr>
      <w:r>
        <w:rPr>
          <w:rFonts w:ascii="Arial" w:hAnsi="Arial" w:cs="Arial"/>
          <w:sz w:val="20"/>
        </w:rPr>
        <w:t>Hermosillo Ochoa Héctor Enrique</w:t>
      </w:r>
    </w:p>
    <w:p w:rsidR="009259DC" w:rsidRDefault="009259DC" w:rsidP="009259DC">
      <w:pPr>
        <w:spacing w:after="0"/>
        <w:ind w:right="-518"/>
        <w:jc w:val="both"/>
        <w:rPr>
          <w:rFonts w:ascii="Arial" w:hAnsi="Arial" w:cs="Arial"/>
          <w:sz w:val="20"/>
        </w:rPr>
      </w:pPr>
      <w:r>
        <w:rPr>
          <w:rFonts w:ascii="Arial" w:hAnsi="Arial" w:cs="Arial"/>
          <w:sz w:val="20"/>
        </w:rPr>
        <w:t>Velázquez Arias Diego Iván</w:t>
      </w:r>
    </w:p>
    <w:p w:rsidR="009259DC" w:rsidRDefault="009259DC" w:rsidP="00731503">
      <w:pPr>
        <w:spacing w:after="0"/>
        <w:ind w:right="-518"/>
        <w:jc w:val="both"/>
        <w:rPr>
          <w:rFonts w:ascii="Arial" w:hAnsi="Arial" w:cs="Arial"/>
          <w:b/>
          <w:bCs/>
          <w:sz w:val="18"/>
          <w:szCs w:val="18"/>
          <w:highlight w:val="yellow"/>
        </w:rPr>
      </w:pPr>
    </w:p>
    <w:p w:rsidR="00731503" w:rsidRDefault="009259DC" w:rsidP="00731503">
      <w:pPr>
        <w:spacing w:after="0"/>
        <w:ind w:right="-518"/>
        <w:jc w:val="both"/>
        <w:rPr>
          <w:rFonts w:ascii="Arial" w:hAnsi="Arial" w:cs="Arial"/>
          <w:sz w:val="18"/>
          <w:szCs w:val="18"/>
          <w:u w:val="single"/>
        </w:rPr>
      </w:pPr>
      <w:r w:rsidRPr="009259DC">
        <w:rPr>
          <w:rFonts w:ascii="Arial" w:hAnsi="Arial" w:cs="Arial"/>
          <w:bCs/>
          <w:sz w:val="18"/>
          <w:szCs w:val="18"/>
        </w:rPr>
        <w:t>Lo anterior</w:t>
      </w:r>
      <w:r w:rsidR="00EE251B" w:rsidRPr="009259DC">
        <w:rPr>
          <w:rFonts w:ascii="Arial" w:hAnsi="Arial" w:cs="Arial"/>
          <w:bCs/>
          <w:sz w:val="18"/>
          <w:szCs w:val="18"/>
        </w:rPr>
        <w:t xml:space="preserve"> derivado de</w:t>
      </w:r>
      <w:r w:rsidR="00731503" w:rsidRPr="009259DC">
        <w:rPr>
          <w:rFonts w:ascii="Arial" w:hAnsi="Arial" w:cs="Arial"/>
          <w:bCs/>
          <w:sz w:val="18"/>
          <w:szCs w:val="18"/>
        </w:rPr>
        <w:t xml:space="preserve"> mostraron medidas preventivas (presentaron </w:t>
      </w:r>
      <w:r w:rsidR="00731503" w:rsidRPr="009259DC">
        <w:rPr>
          <w:rFonts w:ascii="Arial" w:hAnsi="Arial" w:cs="Arial"/>
          <w:sz w:val="18"/>
          <w:szCs w:val="18"/>
        </w:rPr>
        <w:t xml:space="preserve">a la Subdirección Jurídica mediante los oficios SDRH/127/2016 y SDRH/095/2017, información acerca del adeudo de dichos trabajadores </w:t>
      </w:r>
      <w:r w:rsidR="00731503" w:rsidRPr="009259DC">
        <w:rPr>
          <w:rFonts w:ascii="Arial" w:hAnsi="Arial" w:cs="Arial"/>
          <w:sz w:val="18"/>
          <w:szCs w:val="18"/>
          <w:u w:val="single"/>
        </w:rPr>
        <w:t>con el fin de tomarse en consideración al momento de que se diera el Laudo de cada uno de ellos). Sin embargo hay que destacar que dichos saldos continúan vigentes en la contabilidad.</w:t>
      </w:r>
      <w:r w:rsidR="00EA24C4">
        <w:rPr>
          <w:rFonts w:ascii="Arial" w:hAnsi="Arial" w:cs="Arial"/>
          <w:sz w:val="18"/>
          <w:szCs w:val="18"/>
          <w:u w:val="single"/>
        </w:rPr>
        <w:t xml:space="preserve"> </w:t>
      </w:r>
      <w:r>
        <w:rPr>
          <w:rFonts w:ascii="Arial" w:hAnsi="Arial" w:cs="Arial"/>
          <w:sz w:val="18"/>
          <w:szCs w:val="18"/>
          <w:u w:val="single"/>
        </w:rPr>
        <w:t>Este Órgano de control dará seguimiento a estos saldos.</w:t>
      </w:r>
    </w:p>
    <w:p w:rsidR="009259DC" w:rsidRPr="00C74E4E" w:rsidRDefault="009259DC" w:rsidP="00731503">
      <w:pPr>
        <w:spacing w:after="0"/>
        <w:ind w:right="-518"/>
        <w:jc w:val="both"/>
        <w:rPr>
          <w:rFonts w:ascii="Arial" w:hAnsi="Arial" w:cs="Arial"/>
          <w:bCs/>
          <w:sz w:val="18"/>
          <w:szCs w:val="18"/>
        </w:rPr>
      </w:pPr>
    </w:p>
    <w:p w:rsidR="00CD31F5" w:rsidRPr="00C74E4E" w:rsidRDefault="007B49FB" w:rsidP="00CD31F5">
      <w:pPr>
        <w:spacing w:after="0"/>
        <w:ind w:right="-518"/>
        <w:jc w:val="both"/>
        <w:rPr>
          <w:rFonts w:ascii="Arial" w:hAnsi="Arial" w:cs="Arial"/>
          <w:bCs/>
          <w:sz w:val="18"/>
          <w:szCs w:val="18"/>
        </w:rPr>
      </w:pPr>
      <w:r w:rsidRPr="00C74E4E">
        <w:rPr>
          <w:rFonts w:ascii="Arial" w:hAnsi="Arial" w:cs="Arial"/>
          <w:bCs/>
          <w:sz w:val="18"/>
          <w:szCs w:val="18"/>
        </w:rPr>
        <w:t>En el caso de Zúñiga Bernal Héc</w:t>
      </w:r>
      <w:r w:rsidR="00CD31F5" w:rsidRPr="00C74E4E">
        <w:rPr>
          <w:rFonts w:ascii="Arial" w:hAnsi="Arial" w:cs="Arial"/>
          <w:bCs/>
          <w:sz w:val="18"/>
          <w:szCs w:val="18"/>
        </w:rPr>
        <w:t xml:space="preserve">tor Federico, el Organismo </w:t>
      </w:r>
      <w:r w:rsidRPr="00C74E4E">
        <w:rPr>
          <w:rFonts w:ascii="Arial" w:hAnsi="Arial" w:cs="Arial"/>
          <w:bCs/>
          <w:sz w:val="18"/>
          <w:szCs w:val="18"/>
        </w:rPr>
        <w:t>solo</w:t>
      </w:r>
      <w:r w:rsidR="00CD31F5" w:rsidRPr="00C74E4E">
        <w:rPr>
          <w:rFonts w:ascii="Arial" w:hAnsi="Arial" w:cs="Arial"/>
          <w:bCs/>
          <w:sz w:val="18"/>
          <w:szCs w:val="18"/>
        </w:rPr>
        <w:t xml:space="preserve"> presentó</w:t>
      </w:r>
      <w:r w:rsidRPr="00C74E4E">
        <w:rPr>
          <w:rFonts w:ascii="Arial" w:hAnsi="Arial" w:cs="Arial"/>
          <w:bCs/>
          <w:sz w:val="18"/>
          <w:szCs w:val="18"/>
        </w:rPr>
        <w:t xml:space="preserve"> oficio SDRH/095/2017 de fecha 15 de febrero de 2017 en donde da a conocer el Subdirector de Recursos Humanos a la Subdirección Jurídica el adeudo de 3,150.00 (tres mil ciento cincuenta pesos 00/100 M.N.) </w:t>
      </w:r>
      <w:r w:rsidR="00732905" w:rsidRPr="00C74E4E">
        <w:rPr>
          <w:rFonts w:ascii="Arial" w:hAnsi="Arial" w:cs="Arial"/>
          <w:bCs/>
          <w:sz w:val="18"/>
          <w:szCs w:val="18"/>
          <w:u w:val="single"/>
        </w:rPr>
        <w:t xml:space="preserve">en </w:t>
      </w:r>
      <w:r w:rsidR="009259DC">
        <w:rPr>
          <w:rFonts w:ascii="Arial" w:hAnsi="Arial" w:cs="Arial"/>
          <w:bCs/>
          <w:sz w:val="18"/>
          <w:szCs w:val="18"/>
          <w:u w:val="single"/>
        </w:rPr>
        <w:t>el que</w:t>
      </w:r>
      <w:r w:rsidR="00732905" w:rsidRPr="00C74E4E">
        <w:rPr>
          <w:rFonts w:ascii="Arial" w:hAnsi="Arial" w:cs="Arial"/>
          <w:bCs/>
          <w:sz w:val="18"/>
          <w:szCs w:val="18"/>
          <w:u w:val="single"/>
        </w:rPr>
        <w:t xml:space="preserve"> solicita el apoyo para que consideren el adeudo al momento del Laudo</w:t>
      </w:r>
      <w:r w:rsidR="00732905" w:rsidRPr="00EA24C4">
        <w:rPr>
          <w:rFonts w:ascii="Arial" w:hAnsi="Arial" w:cs="Arial"/>
          <w:bCs/>
          <w:sz w:val="18"/>
          <w:szCs w:val="18"/>
          <w:u w:val="single"/>
        </w:rPr>
        <w:t>.</w:t>
      </w:r>
      <w:r w:rsidR="00CD31F5" w:rsidRPr="00EA24C4">
        <w:rPr>
          <w:rFonts w:ascii="Arial" w:hAnsi="Arial" w:cs="Arial"/>
          <w:bCs/>
          <w:sz w:val="18"/>
          <w:szCs w:val="18"/>
          <w:u w:val="single"/>
        </w:rPr>
        <w:t xml:space="preserve"> </w:t>
      </w:r>
      <w:r w:rsidR="00CD31F5" w:rsidRPr="00EA24C4">
        <w:rPr>
          <w:rFonts w:ascii="Arial" w:hAnsi="Arial" w:cs="Arial"/>
          <w:sz w:val="18"/>
          <w:szCs w:val="18"/>
          <w:u w:val="single"/>
        </w:rPr>
        <w:t>Sin embargo hay que destacar que dicho saldo continúa vigente en la contabilidad</w:t>
      </w:r>
      <w:r w:rsidR="00CD31F5" w:rsidRPr="00C74E4E">
        <w:rPr>
          <w:rFonts w:ascii="Arial" w:hAnsi="Arial" w:cs="Arial"/>
          <w:sz w:val="18"/>
          <w:szCs w:val="18"/>
        </w:rPr>
        <w:t>.</w:t>
      </w:r>
      <w:r w:rsidR="00F7503B" w:rsidRPr="00C74E4E">
        <w:rPr>
          <w:rFonts w:ascii="Arial" w:hAnsi="Arial" w:cs="Arial"/>
          <w:sz w:val="18"/>
          <w:szCs w:val="18"/>
        </w:rPr>
        <w:t xml:space="preserve"> </w:t>
      </w:r>
      <w:r w:rsidR="00F7503B" w:rsidRPr="00C74E4E">
        <w:rPr>
          <w:rFonts w:ascii="Arial" w:hAnsi="Arial" w:cs="Arial"/>
          <w:b/>
          <w:sz w:val="18"/>
          <w:szCs w:val="18"/>
        </w:rPr>
        <w:t>Por</w:t>
      </w:r>
      <w:r w:rsidR="00F7503B" w:rsidRPr="00C74E4E">
        <w:rPr>
          <w:rFonts w:ascii="Arial" w:hAnsi="Arial" w:cs="Arial"/>
          <w:sz w:val="18"/>
          <w:szCs w:val="18"/>
        </w:rPr>
        <w:t xml:space="preserve"> </w:t>
      </w:r>
      <w:r w:rsidR="00F7503B" w:rsidRPr="00C74E4E">
        <w:rPr>
          <w:rFonts w:ascii="Arial" w:hAnsi="Arial" w:cs="Arial"/>
          <w:b/>
          <w:sz w:val="18"/>
          <w:szCs w:val="18"/>
        </w:rPr>
        <w:t>lo que se solventa</w:t>
      </w:r>
      <w:r w:rsidR="00F7503B" w:rsidRPr="00C74E4E">
        <w:rPr>
          <w:rFonts w:ascii="Arial" w:hAnsi="Arial" w:cs="Arial"/>
          <w:sz w:val="18"/>
          <w:szCs w:val="18"/>
        </w:rPr>
        <w:t xml:space="preserve"> sin embargo este Órgano Estatal de Control dará seguimiento a este saldo.</w:t>
      </w:r>
    </w:p>
    <w:p w:rsidR="00CD31F5" w:rsidRPr="00C74E4E" w:rsidRDefault="00CD31F5" w:rsidP="00CD31F5">
      <w:pPr>
        <w:spacing w:after="0"/>
        <w:ind w:right="-518"/>
        <w:jc w:val="both"/>
        <w:rPr>
          <w:rFonts w:ascii="Arial" w:hAnsi="Arial" w:cs="Arial"/>
          <w:bCs/>
          <w:sz w:val="18"/>
          <w:szCs w:val="18"/>
        </w:rPr>
      </w:pPr>
    </w:p>
    <w:p w:rsidR="00732905" w:rsidRDefault="00F7503B" w:rsidP="00F7503B">
      <w:pPr>
        <w:ind w:right="-518"/>
        <w:jc w:val="both"/>
        <w:rPr>
          <w:rFonts w:ascii="Arial" w:hAnsi="Arial" w:cs="Arial"/>
          <w:b/>
          <w:bCs/>
          <w:sz w:val="18"/>
          <w:szCs w:val="18"/>
          <w:u w:val="single"/>
        </w:rPr>
      </w:pPr>
      <w:r w:rsidRPr="00C74E4E">
        <w:rPr>
          <w:rFonts w:ascii="Arial" w:hAnsi="Arial" w:cs="Arial"/>
          <w:bCs/>
          <w:sz w:val="18"/>
          <w:szCs w:val="18"/>
          <w:u w:val="single"/>
        </w:rPr>
        <w:t>E</w:t>
      </w:r>
      <w:r w:rsidR="00732905" w:rsidRPr="00C74E4E">
        <w:rPr>
          <w:rFonts w:ascii="Arial" w:hAnsi="Arial" w:cs="Arial"/>
          <w:bCs/>
          <w:sz w:val="18"/>
          <w:szCs w:val="18"/>
        </w:rPr>
        <w:t>n el caso de Palacios Guillen Adolfo, menciona</w:t>
      </w:r>
      <w:r w:rsidRPr="00C74E4E">
        <w:rPr>
          <w:rFonts w:ascii="Arial" w:hAnsi="Arial" w:cs="Arial"/>
          <w:bCs/>
          <w:sz w:val="18"/>
          <w:szCs w:val="18"/>
        </w:rPr>
        <w:t>ro</w:t>
      </w:r>
      <w:r w:rsidR="00732905" w:rsidRPr="00C74E4E">
        <w:rPr>
          <w:rFonts w:ascii="Arial" w:hAnsi="Arial" w:cs="Arial"/>
          <w:bCs/>
          <w:sz w:val="18"/>
          <w:szCs w:val="18"/>
        </w:rPr>
        <w:t xml:space="preserve">n que no fue encontrada esta demanda por lo que presentan amonestación por escrito al encargado de los prestamos SIAPA, el C. Rogelio </w:t>
      </w:r>
      <w:proofErr w:type="spellStart"/>
      <w:r w:rsidR="00732905" w:rsidRPr="00C74E4E">
        <w:rPr>
          <w:rFonts w:ascii="Arial" w:hAnsi="Arial" w:cs="Arial"/>
          <w:bCs/>
          <w:sz w:val="18"/>
          <w:szCs w:val="18"/>
        </w:rPr>
        <w:t>Pantiga</w:t>
      </w:r>
      <w:proofErr w:type="spellEnd"/>
      <w:r w:rsidR="00732905" w:rsidRPr="00C74E4E">
        <w:rPr>
          <w:rFonts w:ascii="Arial" w:hAnsi="Arial" w:cs="Arial"/>
          <w:bCs/>
          <w:sz w:val="18"/>
          <w:szCs w:val="18"/>
        </w:rPr>
        <w:t xml:space="preserve"> Fuentes</w:t>
      </w:r>
      <w:r w:rsidR="002D220E" w:rsidRPr="00C74E4E">
        <w:rPr>
          <w:rFonts w:ascii="Arial" w:hAnsi="Arial" w:cs="Arial"/>
          <w:bCs/>
          <w:sz w:val="18"/>
          <w:szCs w:val="18"/>
        </w:rPr>
        <w:t>,</w:t>
      </w:r>
      <w:r w:rsidR="00732905" w:rsidRPr="00C74E4E">
        <w:rPr>
          <w:rFonts w:ascii="Arial" w:hAnsi="Arial" w:cs="Arial"/>
          <w:bCs/>
          <w:sz w:val="18"/>
          <w:szCs w:val="18"/>
        </w:rPr>
        <w:t xml:space="preserve"> según resolución de fecha 13 de marzo de 2018 emitida por la SECCION DE CONTROL DE LA LEGALIDAD Y ORGANO DE CONTROL DISCIPLINARIO EXP. SCL/OCD/PARA/21/2017</w:t>
      </w:r>
      <w:r w:rsidRPr="00C74E4E">
        <w:rPr>
          <w:rFonts w:ascii="Arial" w:hAnsi="Arial" w:cs="Arial"/>
          <w:bCs/>
          <w:sz w:val="18"/>
          <w:szCs w:val="18"/>
        </w:rPr>
        <w:t>. Sin embargo manifestamos que una amonestación no resuelve el estatus del saldo, por lo que deberán someter esta situación al Órgano de Gobierno para la cancelación del saldo</w:t>
      </w:r>
      <w:r w:rsidR="000D1BAE" w:rsidRPr="00C74E4E">
        <w:rPr>
          <w:rFonts w:ascii="Arial" w:hAnsi="Arial" w:cs="Arial"/>
          <w:bCs/>
          <w:sz w:val="18"/>
          <w:szCs w:val="18"/>
        </w:rPr>
        <w:t xml:space="preserve">. </w:t>
      </w:r>
      <w:r w:rsidR="000D1BAE" w:rsidRPr="00EA24C4">
        <w:rPr>
          <w:rFonts w:ascii="Arial" w:hAnsi="Arial" w:cs="Arial"/>
          <w:b/>
          <w:bCs/>
          <w:sz w:val="18"/>
          <w:szCs w:val="18"/>
          <w:u w:val="single"/>
        </w:rPr>
        <w:t>Queda no solventada</w:t>
      </w:r>
      <w:r w:rsidR="009D6F62" w:rsidRPr="00EA24C4">
        <w:rPr>
          <w:rFonts w:ascii="Arial" w:hAnsi="Arial" w:cs="Arial"/>
          <w:b/>
          <w:bCs/>
          <w:sz w:val="18"/>
          <w:szCs w:val="18"/>
          <w:u w:val="single"/>
        </w:rPr>
        <w:t xml:space="preserve"> </w:t>
      </w:r>
    </w:p>
    <w:p w:rsidR="009259DC" w:rsidRDefault="009259DC" w:rsidP="000D1BAE">
      <w:pPr>
        <w:spacing w:after="0"/>
        <w:ind w:right="-518"/>
        <w:jc w:val="both"/>
        <w:rPr>
          <w:rFonts w:ascii="Arial" w:hAnsi="Arial" w:cs="Arial"/>
          <w:b/>
          <w:bCs/>
          <w:sz w:val="18"/>
          <w:szCs w:val="18"/>
        </w:rPr>
      </w:pPr>
    </w:p>
    <w:p w:rsidR="000D1BAE" w:rsidRPr="00FB0386" w:rsidRDefault="002D220E" w:rsidP="000D1BAE">
      <w:pPr>
        <w:spacing w:after="0"/>
        <w:ind w:right="-518"/>
        <w:jc w:val="both"/>
        <w:rPr>
          <w:rFonts w:ascii="Arial" w:hAnsi="Arial" w:cs="Arial"/>
          <w:b/>
          <w:color w:val="FF0000"/>
          <w:sz w:val="18"/>
          <w:szCs w:val="18"/>
          <w:u w:val="single"/>
        </w:rPr>
      </w:pPr>
      <w:r w:rsidRPr="00C74E4E">
        <w:rPr>
          <w:rFonts w:ascii="Arial" w:hAnsi="Arial" w:cs="Arial"/>
          <w:b/>
          <w:bCs/>
          <w:sz w:val="18"/>
          <w:szCs w:val="18"/>
        </w:rPr>
        <w:t>1.3 c)</w:t>
      </w:r>
      <w:r w:rsidR="009D6F62" w:rsidRPr="00C74E4E">
        <w:rPr>
          <w:rFonts w:ascii="Arial" w:hAnsi="Arial" w:cs="Arial"/>
          <w:b/>
          <w:bCs/>
          <w:sz w:val="18"/>
          <w:szCs w:val="18"/>
        </w:rPr>
        <w:t xml:space="preserve"> </w:t>
      </w:r>
      <w:r w:rsidR="000D1BAE" w:rsidRPr="00C74E4E">
        <w:rPr>
          <w:rFonts w:ascii="Arial" w:hAnsi="Arial" w:cs="Arial"/>
          <w:bCs/>
          <w:sz w:val="18"/>
          <w:szCs w:val="18"/>
        </w:rPr>
        <w:t>Manifiesta que a</w:t>
      </w:r>
      <w:r w:rsidR="000D1BAE" w:rsidRPr="00C74E4E">
        <w:rPr>
          <w:rFonts w:ascii="Arial" w:hAnsi="Arial" w:cs="Arial"/>
          <w:sz w:val="18"/>
          <w:szCs w:val="18"/>
        </w:rPr>
        <w:t>l momento de otorgar los prestamos correspondientes a los C.C. Galván Robles Jesús Cristian y Olea Pérez Leonardo</w:t>
      </w:r>
      <w:r w:rsidR="000D1BAE" w:rsidRPr="00C74E4E">
        <w:rPr>
          <w:rFonts w:ascii="Arial" w:hAnsi="Arial" w:cs="Arial"/>
          <w:sz w:val="18"/>
          <w:szCs w:val="18"/>
          <w:u w:val="single"/>
        </w:rPr>
        <w:t xml:space="preserve">, </w:t>
      </w:r>
      <w:r w:rsidR="000D1BAE" w:rsidRPr="00C74E4E">
        <w:rPr>
          <w:rFonts w:ascii="Arial" w:hAnsi="Arial" w:cs="Arial"/>
          <w:b/>
          <w:sz w:val="18"/>
          <w:szCs w:val="18"/>
          <w:u w:val="single"/>
        </w:rPr>
        <w:t>se encontraba a cargo otra administración y de la cual no se entregó documentación alguna a la Subdirección de Recursos Humanos</w:t>
      </w:r>
      <w:r w:rsidR="000D1BAE" w:rsidRPr="00C74E4E">
        <w:rPr>
          <w:rFonts w:ascii="Arial" w:hAnsi="Arial" w:cs="Arial"/>
          <w:sz w:val="18"/>
          <w:szCs w:val="18"/>
          <w:u w:val="single"/>
        </w:rPr>
        <w:t xml:space="preserve"> para poder ejercer el cobro al trabajador </w:t>
      </w:r>
      <w:proofErr w:type="spellStart"/>
      <w:r w:rsidR="000D1BAE" w:rsidRPr="00C74E4E">
        <w:rPr>
          <w:rFonts w:ascii="Arial" w:hAnsi="Arial" w:cs="Arial"/>
          <w:sz w:val="18"/>
          <w:szCs w:val="18"/>
          <w:u w:val="single"/>
        </w:rPr>
        <w:t>ó</w:t>
      </w:r>
      <w:proofErr w:type="spellEnd"/>
      <w:r w:rsidR="000D1BAE" w:rsidRPr="00C74E4E">
        <w:rPr>
          <w:rFonts w:ascii="Arial" w:hAnsi="Arial" w:cs="Arial"/>
          <w:sz w:val="18"/>
          <w:szCs w:val="18"/>
          <w:u w:val="single"/>
        </w:rPr>
        <w:t xml:space="preserve"> al aval</w:t>
      </w:r>
      <w:r w:rsidR="00C74E4E" w:rsidRPr="00C74E4E">
        <w:rPr>
          <w:rFonts w:ascii="Arial" w:hAnsi="Arial" w:cs="Arial"/>
          <w:sz w:val="18"/>
          <w:szCs w:val="18"/>
          <w:u w:val="single"/>
        </w:rPr>
        <w:t>; por lo que esta respuesta</w:t>
      </w:r>
      <w:r w:rsidR="000D1BAE" w:rsidRPr="00C74E4E">
        <w:rPr>
          <w:rFonts w:ascii="Arial" w:hAnsi="Arial" w:cs="Arial"/>
          <w:sz w:val="18"/>
          <w:szCs w:val="18"/>
          <w:u w:val="single"/>
        </w:rPr>
        <w:t xml:space="preserve"> </w:t>
      </w:r>
      <w:r w:rsidR="000D1BAE" w:rsidRPr="00FB0386">
        <w:rPr>
          <w:rFonts w:ascii="Arial" w:hAnsi="Arial" w:cs="Arial"/>
          <w:sz w:val="18"/>
          <w:szCs w:val="18"/>
          <w:u w:val="single"/>
        </w:rPr>
        <w:t>no proporciona elementos de solventación</w:t>
      </w:r>
      <w:r w:rsidR="00FB0386">
        <w:rPr>
          <w:rFonts w:ascii="Arial" w:hAnsi="Arial" w:cs="Arial"/>
          <w:sz w:val="18"/>
          <w:szCs w:val="18"/>
          <w:u w:val="single"/>
        </w:rPr>
        <w:t xml:space="preserve">. Además continúan vigentes en la contabilidad. </w:t>
      </w:r>
      <w:r w:rsidR="000D1BAE" w:rsidRPr="00FB0386">
        <w:rPr>
          <w:rFonts w:ascii="Arial" w:hAnsi="Arial" w:cs="Arial"/>
          <w:b/>
          <w:sz w:val="18"/>
          <w:szCs w:val="18"/>
          <w:u w:val="single"/>
        </w:rPr>
        <w:t>Por lo que no se solventa</w:t>
      </w:r>
    </w:p>
    <w:p w:rsidR="000D1BAE" w:rsidRPr="00FB0386" w:rsidRDefault="000D1BAE" w:rsidP="000D1BAE">
      <w:pPr>
        <w:spacing w:after="0"/>
        <w:ind w:right="-518"/>
        <w:jc w:val="both"/>
        <w:rPr>
          <w:rFonts w:ascii="Arial" w:hAnsi="Arial" w:cs="Arial"/>
          <w:b/>
          <w:sz w:val="18"/>
          <w:szCs w:val="18"/>
          <w:u w:val="single"/>
        </w:rPr>
      </w:pPr>
    </w:p>
    <w:p w:rsidR="000D1BAE" w:rsidRPr="00C74E4E" w:rsidRDefault="000D1BAE" w:rsidP="003C6CFA">
      <w:pPr>
        <w:jc w:val="both"/>
        <w:rPr>
          <w:rFonts w:ascii="Arial" w:hAnsi="Arial" w:cs="Arial"/>
          <w:b/>
          <w:bCs/>
          <w:sz w:val="18"/>
          <w:szCs w:val="18"/>
        </w:rPr>
      </w:pPr>
      <w:r w:rsidRPr="00C74E4E">
        <w:rPr>
          <w:rFonts w:ascii="Arial" w:hAnsi="Arial" w:cs="Arial"/>
          <w:b/>
          <w:sz w:val="18"/>
          <w:szCs w:val="18"/>
        </w:rPr>
        <w:t>Se solventa</w:t>
      </w:r>
      <w:r w:rsidRPr="00C74E4E">
        <w:rPr>
          <w:rFonts w:ascii="Arial" w:hAnsi="Arial" w:cs="Arial"/>
          <w:sz w:val="18"/>
          <w:szCs w:val="18"/>
        </w:rPr>
        <w:t xml:space="preserve"> </w:t>
      </w:r>
      <w:r w:rsidR="00FB0386">
        <w:rPr>
          <w:rFonts w:ascii="Arial" w:hAnsi="Arial" w:cs="Arial"/>
          <w:sz w:val="18"/>
          <w:szCs w:val="18"/>
        </w:rPr>
        <w:t xml:space="preserve">este saldo, </w:t>
      </w:r>
      <w:r w:rsidRPr="00C74E4E">
        <w:rPr>
          <w:rFonts w:ascii="Arial" w:hAnsi="Arial" w:cs="Arial"/>
          <w:sz w:val="18"/>
          <w:szCs w:val="18"/>
        </w:rPr>
        <w:t xml:space="preserve">ya que manifiestan que el adeudo del préstamo otorgado al C. Trejo Martínez Mauricio quien causó baja por invalidez temporal y su aval el C. Jesús Lozano Pinzón había causado baja el 15 de mayo de 2012, razón por la que en el momento de la auditoría estaba sin cobrar.  </w:t>
      </w:r>
      <w:r w:rsidRPr="00C74E4E">
        <w:rPr>
          <w:rFonts w:ascii="Arial" w:hAnsi="Arial" w:cs="Arial"/>
          <w:sz w:val="18"/>
          <w:szCs w:val="18"/>
          <w:u w:val="single"/>
        </w:rPr>
        <w:t xml:space="preserve">Sin embargo, el 9 de mayo de 2016 presentó la invalidez definitiva </w:t>
      </w:r>
      <w:r w:rsidRPr="00C74E4E">
        <w:rPr>
          <w:rFonts w:ascii="Arial" w:hAnsi="Arial" w:cs="Arial"/>
          <w:b/>
          <w:sz w:val="18"/>
          <w:szCs w:val="18"/>
          <w:u w:val="single"/>
        </w:rPr>
        <w:t>y se hace el cobro del adeudo</w:t>
      </w:r>
      <w:r w:rsidRPr="00C74E4E">
        <w:rPr>
          <w:rFonts w:ascii="Arial" w:hAnsi="Arial" w:cs="Arial"/>
          <w:sz w:val="18"/>
          <w:szCs w:val="18"/>
          <w:u w:val="single"/>
        </w:rPr>
        <w:t xml:space="preserve"> que por concepto de préstamo SIAPA tenía. </w:t>
      </w:r>
    </w:p>
    <w:p w:rsidR="000D1BAE" w:rsidRDefault="000D1BAE" w:rsidP="003C6CFA">
      <w:pPr>
        <w:jc w:val="both"/>
        <w:rPr>
          <w:rFonts w:ascii="Arial" w:hAnsi="Arial" w:cs="Arial"/>
          <w:b/>
          <w:bCs/>
          <w:sz w:val="18"/>
          <w:szCs w:val="18"/>
        </w:rPr>
      </w:pPr>
    </w:p>
    <w:p w:rsidR="008334E2" w:rsidRDefault="008334E2" w:rsidP="003C6CFA">
      <w:pPr>
        <w:jc w:val="both"/>
        <w:rPr>
          <w:rFonts w:ascii="Arial" w:hAnsi="Arial" w:cs="Arial"/>
          <w:b/>
          <w:bCs/>
          <w:sz w:val="18"/>
          <w:szCs w:val="18"/>
        </w:rPr>
      </w:pPr>
    </w:p>
    <w:p w:rsidR="008334E2" w:rsidRDefault="008334E2" w:rsidP="003C6CFA">
      <w:pPr>
        <w:jc w:val="both"/>
        <w:rPr>
          <w:rFonts w:ascii="Arial" w:hAnsi="Arial" w:cs="Arial"/>
          <w:b/>
          <w:bCs/>
          <w:sz w:val="18"/>
          <w:szCs w:val="18"/>
        </w:rPr>
      </w:pPr>
    </w:p>
    <w:p w:rsidR="008334E2" w:rsidRDefault="008334E2" w:rsidP="003C6CFA">
      <w:pPr>
        <w:jc w:val="both"/>
        <w:rPr>
          <w:rFonts w:ascii="Arial" w:hAnsi="Arial" w:cs="Arial"/>
          <w:b/>
          <w:bCs/>
          <w:sz w:val="18"/>
          <w:szCs w:val="18"/>
        </w:rPr>
      </w:pPr>
    </w:p>
    <w:p w:rsidR="008334E2" w:rsidRPr="00C74E4E" w:rsidRDefault="008334E2" w:rsidP="003C6CFA">
      <w:pPr>
        <w:jc w:val="both"/>
        <w:rPr>
          <w:rFonts w:ascii="Arial" w:hAnsi="Arial" w:cs="Arial"/>
          <w:b/>
          <w:bCs/>
          <w:sz w:val="18"/>
          <w:szCs w:val="18"/>
        </w:rPr>
      </w:pPr>
    </w:p>
    <w:p w:rsidR="00FB0386" w:rsidRDefault="003C6CFA" w:rsidP="0092700B">
      <w:pPr>
        <w:spacing w:after="0"/>
        <w:ind w:right="-518"/>
        <w:jc w:val="both"/>
        <w:rPr>
          <w:rFonts w:ascii="Arial" w:hAnsi="Arial" w:cs="Arial"/>
          <w:color w:val="000000"/>
          <w:sz w:val="18"/>
          <w:szCs w:val="18"/>
        </w:rPr>
      </w:pPr>
      <w:r w:rsidRPr="00C74E4E">
        <w:rPr>
          <w:rFonts w:ascii="Arial" w:hAnsi="Arial" w:cs="Arial"/>
          <w:b/>
          <w:color w:val="000000"/>
          <w:sz w:val="18"/>
          <w:szCs w:val="18"/>
        </w:rPr>
        <w:t>1.3 d</w:t>
      </w:r>
      <w:r w:rsidR="003D4F47" w:rsidRPr="00C74E4E">
        <w:rPr>
          <w:rFonts w:ascii="Arial" w:hAnsi="Arial" w:cs="Arial"/>
          <w:b/>
          <w:color w:val="000000"/>
          <w:sz w:val="18"/>
          <w:szCs w:val="18"/>
        </w:rPr>
        <w:t xml:space="preserve">)  </w:t>
      </w:r>
      <w:r w:rsidR="0092700B" w:rsidRPr="00C74E4E">
        <w:rPr>
          <w:rFonts w:ascii="Arial" w:hAnsi="Arial" w:cs="Arial"/>
          <w:b/>
          <w:color w:val="000000"/>
          <w:sz w:val="18"/>
          <w:szCs w:val="18"/>
        </w:rPr>
        <w:t xml:space="preserve">No se solventa </w:t>
      </w:r>
      <w:r w:rsidR="0092700B" w:rsidRPr="00C74E4E">
        <w:rPr>
          <w:rFonts w:ascii="Arial" w:hAnsi="Arial" w:cs="Arial"/>
          <w:color w:val="000000"/>
          <w:sz w:val="18"/>
          <w:szCs w:val="18"/>
        </w:rPr>
        <w:t>debido a que manifestaron que</w:t>
      </w:r>
      <w:r w:rsidR="00FB0386">
        <w:rPr>
          <w:rFonts w:ascii="Arial" w:hAnsi="Arial" w:cs="Arial"/>
          <w:color w:val="000000"/>
          <w:sz w:val="18"/>
          <w:szCs w:val="18"/>
        </w:rPr>
        <w:t>:</w:t>
      </w:r>
    </w:p>
    <w:p w:rsidR="00A17123" w:rsidRDefault="0092700B" w:rsidP="0092700B">
      <w:pPr>
        <w:spacing w:after="0"/>
        <w:ind w:right="-518"/>
        <w:jc w:val="both"/>
        <w:rPr>
          <w:rFonts w:ascii="Arial" w:hAnsi="Arial" w:cs="Arial"/>
          <w:sz w:val="18"/>
          <w:szCs w:val="18"/>
          <w:u w:val="single"/>
        </w:rPr>
      </w:pPr>
      <w:r w:rsidRPr="00A17123">
        <w:rPr>
          <w:rFonts w:ascii="Arial" w:hAnsi="Arial" w:cs="Arial"/>
          <w:i/>
          <w:color w:val="000000"/>
          <w:sz w:val="18"/>
          <w:szCs w:val="18"/>
        </w:rPr>
        <w:t xml:space="preserve"> </w:t>
      </w:r>
      <w:r w:rsidR="00FB0386" w:rsidRPr="00A17123">
        <w:rPr>
          <w:rFonts w:ascii="Arial" w:hAnsi="Arial" w:cs="Arial"/>
          <w:i/>
          <w:color w:val="000000"/>
          <w:sz w:val="18"/>
          <w:szCs w:val="18"/>
        </w:rPr>
        <w:t>“</w:t>
      </w:r>
      <w:r w:rsidRPr="00A17123">
        <w:rPr>
          <w:rFonts w:ascii="Arial" w:hAnsi="Arial" w:cs="Arial"/>
          <w:i/>
          <w:sz w:val="18"/>
          <w:szCs w:val="18"/>
        </w:rPr>
        <w:t>los trabajadores que tienen saldo deudor de los años correspondientes de 1999 a 2001 no se tiene por recibida dicha documentación para poder ejercer el cobro al  trabajador o al aval</w:t>
      </w:r>
      <w:r w:rsidR="00FB0386" w:rsidRPr="00A17123">
        <w:rPr>
          <w:rFonts w:ascii="Arial" w:hAnsi="Arial" w:cs="Arial"/>
          <w:i/>
          <w:sz w:val="18"/>
          <w:szCs w:val="18"/>
        </w:rPr>
        <w:t>, r</w:t>
      </w:r>
      <w:r w:rsidRPr="00A17123">
        <w:rPr>
          <w:rFonts w:ascii="Arial" w:hAnsi="Arial" w:cs="Arial"/>
          <w:i/>
          <w:sz w:val="18"/>
          <w:szCs w:val="18"/>
          <w:u w:val="single"/>
        </w:rPr>
        <w:t xml:space="preserve">esponsabilidad que </w:t>
      </w:r>
      <w:r w:rsidR="00C74E4E" w:rsidRPr="00A17123">
        <w:rPr>
          <w:rFonts w:ascii="Arial" w:hAnsi="Arial" w:cs="Arial"/>
          <w:i/>
          <w:sz w:val="18"/>
          <w:szCs w:val="18"/>
          <w:u w:val="single"/>
        </w:rPr>
        <w:t>n</w:t>
      </w:r>
      <w:r w:rsidRPr="00A17123">
        <w:rPr>
          <w:rFonts w:ascii="Arial" w:hAnsi="Arial" w:cs="Arial"/>
          <w:i/>
          <w:sz w:val="18"/>
          <w:szCs w:val="18"/>
          <w:u w:val="single"/>
        </w:rPr>
        <w:t>o compete a la administración actual.</w:t>
      </w:r>
      <w:r w:rsidR="00A17123" w:rsidRPr="00A17123">
        <w:rPr>
          <w:rFonts w:ascii="Arial" w:hAnsi="Arial" w:cs="Arial"/>
          <w:i/>
          <w:sz w:val="18"/>
          <w:szCs w:val="18"/>
          <w:u w:val="single"/>
        </w:rPr>
        <w:t>”</w:t>
      </w:r>
    </w:p>
    <w:p w:rsidR="00A17123" w:rsidRDefault="00C74E4E" w:rsidP="0092700B">
      <w:pPr>
        <w:spacing w:after="0"/>
        <w:ind w:right="-518"/>
        <w:jc w:val="both"/>
        <w:rPr>
          <w:rFonts w:ascii="Arial" w:hAnsi="Arial" w:cs="Arial"/>
          <w:sz w:val="18"/>
          <w:szCs w:val="18"/>
          <w:u w:val="single"/>
        </w:rPr>
      </w:pPr>
      <w:r w:rsidRPr="00C74E4E">
        <w:rPr>
          <w:rFonts w:ascii="Arial" w:hAnsi="Arial" w:cs="Arial"/>
          <w:sz w:val="18"/>
          <w:szCs w:val="18"/>
          <w:u w:val="single"/>
        </w:rPr>
        <w:t>Por lo que se les indica que al recibir estados financieros de otras administraciones a las actuales, esta responsabilidad se traslada</w:t>
      </w:r>
      <w:r w:rsidR="00A17123">
        <w:rPr>
          <w:rFonts w:ascii="Arial" w:hAnsi="Arial" w:cs="Arial"/>
          <w:sz w:val="18"/>
          <w:szCs w:val="18"/>
          <w:u w:val="single"/>
        </w:rPr>
        <w:t xml:space="preserve"> a la nueva Administración</w:t>
      </w:r>
      <w:r w:rsidR="00FB0386">
        <w:rPr>
          <w:rFonts w:ascii="Arial" w:hAnsi="Arial" w:cs="Arial"/>
          <w:sz w:val="18"/>
          <w:szCs w:val="18"/>
          <w:u w:val="single"/>
        </w:rPr>
        <w:t>”</w:t>
      </w:r>
      <w:r w:rsidRPr="00C74E4E">
        <w:rPr>
          <w:rFonts w:ascii="Arial" w:hAnsi="Arial" w:cs="Arial"/>
          <w:sz w:val="18"/>
          <w:szCs w:val="18"/>
          <w:u w:val="single"/>
        </w:rPr>
        <w:t>.</w:t>
      </w:r>
    </w:p>
    <w:p w:rsidR="0092700B" w:rsidRPr="00C74E4E" w:rsidRDefault="00C74E4E" w:rsidP="0092700B">
      <w:pPr>
        <w:spacing w:after="0"/>
        <w:ind w:right="-518"/>
        <w:jc w:val="both"/>
        <w:rPr>
          <w:rFonts w:ascii="Arial" w:hAnsi="Arial" w:cs="Arial"/>
          <w:sz w:val="18"/>
          <w:szCs w:val="18"/>
          <w:u w:val="single"/>
        </w:rPr>
      </w:pPr>
      <w:r w:rsidRPr="00C74E4E">
        <w:rPr>
          <w:rFonts w:ascii="Arial" w:hAnsi="Arial" w:cs="Arial"/>
          <w:sz w:val="18"/>
          <w:szCs w:val="18"/>
          <w:u w:val="single"/>
        </w:rPr>
        <w:t xml:space="preserve"> Por lo que debieron tomar medidas correctivas.</w:t>
      </w:r>
    </w:p>
    <w:p w:rsidR="00BA0618" w:rsidRPr="00C74E4E" w:rsidRDefault="00BA0618" w:rsidP="00AA4EE0">
      <w:pPr>
        <w:rPr>
          <w:rFonts w:ascii="Arial" w:hAnsi="Arial" w:cs="Arial"/>
          <w:bCs/>
          <w:color w:val="FF0000"/>
          <w:sz w:val="18"/>
          <w:szCs w:val="18"/>
        </w:rPr>
      </w:pPr>
    </w:p>
    <w:p w:rsidR="00B2687D" w:rsidRPr="00C74E4E" w:rsidRDefault="00B2687D" w:rsidP="00BD6A17">
      <w:pPr>
        <w:pStyle w:val="Prrafodelista"/>
        <w:ind w:left="0"/>
        <w:jc w:val="both"/>
        <w:rPr>
          <w:rFonts w:ascii="Arial" w:eastAsia="Calibri" w:hAnsi="Arial" w:cs="Arial"/>
          <w:sz w:val="18"/>
          <w:szCs w:val="18"/>
        </w:rPr>
      </w:pPr>
      <w:r w:rsidRPr="00C74E4E">
        <w:rPr>
          <w:rFonts w:ascii="Arial" w:eastAsia="Calibri" w:hAnsi="Arial" w:cs="Arial"/>
          <w:sz w:val="18"/>
          <w:szCs w:val="18"/>
        </w:rPr>
        <w:t>Por</w:t>
      </w:r>
      <w:r w:rsidR="00C74E4E" w:rsidRPr="00C74E4E">
        <w:rPr>
          <w:rFonts w:ascii="Arial" w:eastAsia="Calibri" w:hAnsi="Arial" w:cs="Arial"/>
          <w:sz w:val="18"/>
          <w:szCs w:val="18"/>
        </w:rPr>
        <w:t xml:space="preserve"> las observaciones no solventadas, </w:t>
      </w:r>
      <w:r w:rsidRPr="00C74E4E">
        <w:rPr>
          <w:rFonts w:ascii="Arial" w:eastAsia="Calibri" w:hAnsi="Arial" w:cs="Arial"/>
          <w:sz w:val="18"/>
          <w:szCs w:val="18"/>
        </w:rPr>
        <w:t>deber</w:t>
      </w:r>
      <w:r w:rsidR="009C0101">
        <w:rPr>
          <w:rFonts w:ascii="Arial" w:eastAsia="Calibri" w:hAnsi="Arial" w:cs="Arial"/>
          <w:sz w:val="18"/>
          <w:szCs w:val="18"/>
        </w:rPr>
        <w:t xml:space="preserve">á su Órgano Interno de Control </w:t>
      </w:r>
      <w:r w:rsidRPr="00C74E4E">
        <w:rPr>
          <w:rFonts w:ascii="Arial" w:eastAsia="Calibri" w:hAnsi="Arial" w:cs="Arial"/>
          <w:sz w:val="18"/>
          <w:szCs w:val="18"/>
        </w:rPr>
        <w:t xml:space="preserve">ser el encargado de llevar a cabo el o los procedimientos correspondientes según lo indica el </w:t>
      </w:r>
      <w:r w:rsidRPr="00C74E4E">
        <w:rPr>
          <w:rFonts w:ascii="Arial" w:hAnsi="Arial" w:cs="Arial"/>
          <w:sz w:val="18"/>
          <w:szCs w:val="18"/>
        </w:rPr>
        <w:t>artículo</w:t>
      </w:r>
      <w:r w:rsidRPr="00C74E4E">
        <w:rPr>
          <w:rFonts w:ascii="Arial" w:eastAsia="Calibri" w:hAnsi="Arial" w:cs="Arial"/>
          <w:sz w:val="18"/>
          <w:szCs w:val="18"/>
        </w:rPr>
        <w:t xml:space="preserve"> 52 fracciones II, III y IV de la Ley de Responsabilidades Políticas y administrativas del Estado de Jalisco:</w:t>
      </w:r>
    </w:p>
    <w:p w:rsidR="00B2687D" w:rsidRPr="00C74E4E" w:rsidRDefault="00B2687D" w:rsidP="00B2687D">
      <w:pPr>
        <w:jc w:val="both"/>
        <w:rPr>
          <w:rFonts w:ascii="Arial" w:eastAsia="Calibri" w:hAnsi="Arial" w:cs="Arial"/>
          <w:sz w:val="18"/>
          <w:szCs w:val="18"/>
        </w:rPr>
      </w:pPr>
      <w:r w:rsidRPr="00C74E4E">
        <w:rPr>
          <w:rFonts w:ascii="Arial" w:hAnsi="Arial" w:cs="Arial"/>
          <w:sz w:val="18"/>
          <w:szCs w:val="18"/>
        </w:rPr>
        <w:t>Los Órganos Internos de C</w:t>
      </w:r>
      <w:r w:rsidRPr="00C74E4E">
        <w:rPr>
          <w:rFonts w:ascii="Arial" w:eastAsia="Calibri" w:hAnsi="Arial" w:cs="Arial"/>
          <w:sz w:val="18"/>
          <w:szCs w:val="18"/>
        </w:rPr>
        <w:t>ontrol tendrán, respecto al ente público correspondiente y de conformidad con las normas y procedimientos legales aplicables, las siguientes atribuciones:</w:t>
      </w:r>
    </w:p>
    <w:p w:rsidR="00B2687D" w:rsidRPr="00C74E4E" w:rsidRDefault="00B2687D" w:rsidP="00B2687D">
      <w:pPr>
        <w:jc w:val="both"/>
        <w:rPr>
          <w:rFonts w:ascii="Arial" w:eastAsia="Calibri" w:hAnsi="Arial" w:cs="Arial"/>
          <w:sz w:val="18"/>
          <w:szCs w:val="18"/>
        </w:rPr>
      </w:pPr>
      <w:r w:rsidRPr="00C74E4E">
        <w:rPr>
          <w:rFonts w:ascii="Arial" w:eastAsia="Calibri" w:hAnsi="Arial" w:cs="Arial"/>
          <w:sz w:val="18"/>
          <w:szCs w:val="18"/>
        </w:rPr>
        <w:t xml:space="preserve">II. Investigar, substanciar y calificar las faltas administrativas;  </w:t>
      </w:r>
    </w:p>
    <w:p w:rsidR="00B2687D" w:rsidRPr="00C74E4E" w:rsidRDefault="00B2687D" w:rsidP="00B2687D">
      <w:pPr>
        <w:jc w:val="both"/>
        <w:rPr>
          <w:rFonts w:ascii="Arial" w:eastAsia="Calibri" w:hAnsi="Arial" w:cs="Arial"/>
          <w:sz w:val="18"/>
          <w:szCs w:val="18"/>
        </w:rPr>
      </w:pPr>
      <w:r w:rsidRPr="00C74E4E">
        <w:rPr>
          <w:rFonts w:ascii="Arial" w:eastAsia="Calibri" w:hAnsi="Arial" w:cs="Arial"/>
          <w:sz w:val="18"/>
          <w:szCs w:val="18"/>
        </w:rPr>
        <w:t>III. Resolver las faltas administrativas no graves e imponer y ejecutar las sanciones correspondientes;</w:t>
      </w:r>
    </w:p>
    <w:p w:rsidR="00B2687D" w:rsidRPr="00C74E4E" w:rsidRDefault="00B2687D" w:rsidP="00B2687D">
      <w:pPr>
        <w:jc w:val="both"/>
        <w:rPr>
          <w:rFonts w:ascii="Arial" w:eastAsia="Calibri" w:hAnsi="Arial" w:cs="Arial"/>
          <w:sz w:val="18"/>
          <w:szCs w:val="18"/>
        </w:rPr>
      </w:pPr>
      <w:r w:rsidRPr="00C74E4E">
        <w:rPr>
          <w:rFonts w:ascii="Arial" w:eastAsia="Calibri" w:hAnsi="Arial" w:cs="Arial"/>
          <w:sz w:val="18"/>
          <w:szCs w:val="18"/>
        </w:rPr>
        <w:t>IV. Remitir los procedimientos sobre faltas administrativas graves, debidamente sustanciados, al Tribunal de Justicia Administrativa para su resolución.</w:t>
      </w:r>
    </w:p>
    <w:p w:rsidR="00A26D40" w:rsidRPr="00C74E4E" w:rsidRDefault="00B2687D" w:rsidP="00C74E4E">
      <w:pPr>
        <w:jc w:val="both"/>
        <w:rPr>
          <w:rFonts w:ascii="Arial" w:eastAsia="Calibri" w:hAnsi="Arial" w:cs="Arial"/>
          <w:b/>
          <w:bCs/>
          <w:sz w:val="18"/>
          <w:szCs w:val="18"/>
        </w:rPr>
      </w:pPr>
      <w:r w:rsidRPr="00C74E4E">
        <w:rPr>
          <w:rFonts w:ascii="Arial" w:eastAsia="Calibri" w:hAnsi="Arial" w:cs="Arial"/>
          <w:b/>
          <w:sz w:val="18"/>
          <w:szCs w:val="18"/>
        </w:rPr>
        <w:t>Por lo que deberán enviar la resolución a este Órgano Estatal de Control</w:t>
      </w:r>
      <w:r w:rsidRPr="00C74E4E">
        <w:rPr>
          <w:rFonts w:ascii="Arial" w:eastAsia="Calibri" w:hAnsi="Arial" w:cs="Arial"/>
          <w:b/>
          <w:bCs/>
          <w:sz w:val="18"/>
          <w:szCs w:val="18"/>
        </w:rPr>
        <w:t>.</w:t>
      </w:r>
      <w:bookmarkStart w:id="0" w:name="_GoBack"/>
      <w:bookmarkEnd w:id="0"/>
    </w:p>
    <w:sectPr w:rsidR="00A26D40" w:rsidRPr="00C74E4E" w:rsidSect="001E1583">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CC" w:rsidRDefault="002C7CCC" w:rsidP="001E1583">
      <w:pPr>
        <w:spacing w:after="0" w:line="240" w:lineRule="auto"/>
      </w:pPr>
      <w:r>
        <w:separator/>
      </w:r>
    </w:p>
  </w:endnote>
  <w:endnote w:type="continuationSeparator" w:id="0">
    <w:p w:rsidR="002C7CCC" w:rsidRDefault="002C7CCC"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813"/>
      <w:docPartObj>
        <w:docPartGallery w:val="Page Numbers (Bottom of Page)"/>
        <w:docPartUnique/>
      </w:docPartObj>
    </w:sdtPr>
    <w:sdtContent>
      <w:sdt>
        <w:sdtPr>
          <w:id w:val="-1669238322"/>
          <w:docPartObj>
            <w:docPartGallery w:val="Page Numbers (Top of Page)"/>
            <w:docPartUnique/>
          </w:docPartObj>
        </w:sdtPr>
        <w:sdtContent>
          <w:p w:rsidR="008334E2" w:rsidRDefault="008334E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8334E2" w:rsidRDefault="008334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CC" w:rsidRDefault="002C7CCC" w:rsidP="001E1583">
      <w:pPr>
        <w:spacing w:after="0" w:line="240" w:lineRule="auto"/>
      </w:pPr>
      <w:r>
        <w:separator/>
      </w:r>
    </w:p>
  </w:footnote>
  <w:footnote w:type="continuationSeparator" w:id="0">
    <w:p w:rsidR="002C7CCC" w:rsidRDefault="002C7CCC"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tbl>
    <w:tblPr>
      <w:tblW w:w="0" w:type="auto"/>
      <w:tblLook w:val="04A0" w:firstRow="1" w:lastRow="0" w:firstColumn="1" w:lastColumn="0" w:noHBand="0" w:noVBand="1"/>
    </w:tblPr>
    <w:tblGrid>
      <w:gridCol w:w="3587"/>
      <w:gridCol w:w="5467"/>
    </w:tblGrid>
    <w:tr w:rsidR="008334E2" w:rsidRPr="0002416F" w:rsidTr="008F716E">
      <w:trPr>
        <w:trHeight w:val="230"/>
      </w:trPr>
      <w:tc>
        <w:tcPr>
          <w:tcW w:w="3632" w:type="dxa"/>
          <w:vMerge w:val="restart"/>
          <w:shd w:val="clear" w:color="auto" w:fill="auto"/>
        </w:tcPr>
        <w:tbl>
          <w:tblPr>
            <w:tblW w:w="0" w:type="auto"/>
            <w:tblLook w:val="04A0" w:firstRow="1" w:lastRow="0" w:firstColumn="1" w:lastColumn="0" w:noHBand="0" w:noVBand="1"/>
          </w:tblPr>
          <w:tblGrid>
            <w:gridCol w:w="3371"/>
          </w:tblGrid>
          <w:tr w:rsidR="008334E2" w:rsidRPr="0002416F" w:rsidTr="008F716E">
            <w:trPr>
              <w:trHeight w:val="230"/>
            </w:trPr>
            <w:tc>
              <w:tcPr>
                <w:tcW w:w="3416" w:type="dxa"/>
                <w:shd w:val="clear" w:color="auto" w:fill="auto"/>
              </w:tcPr>
              <w:p w:rsidR="008334E2" w:rsidRPr="0002416F" w:rsidRDefault="008334E2" w:rsidP="008F716E">
                <w:pPr>
                  <w:pStyle w:val="Encabezado"/>
                  <w:jc w:val="both"/>
                  <w:rPr>
                    <w:noProof/>
                    <w:lang w:eastAsia="es-MX"/>
                  </w:rPr>
                </w:pPr>
                <w:r>
                  <w:rPr>
                    <w:noProof/>
                    <w:lang w:eastAsia="es-MX"/>
                  </w:rPr>
                  <w:drawing>
                    <wp:inline distT="0" distB="0" distL="0" distR="0" wp14:anchorId="3F22E64A" wp14:editId="38E96B9E">
                      <wp:extent cx="1609725"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sidRPr="0002416F">
                  <w:rPr>
                    <w:noProof/>
                    <w:lang w:eastAsia="es-MX"/>
                  </w:rPr>
                  <w:t xml:space="preserve">                     </w:t>
                </w:r>
              </w:p>
            </w:tc>
          </w:tr>
        </w:tbl>
        <w:p w:rsidR="008334E2" w:rsidRPr="0002416F" w:rsidRDefault="008334E2" w:rsidP="008F716E">
          <w:pPr>
            <w:pStyle w:val="Encabezado"/>
            <w:jc w:val="both"/>
            <w:rPr>
              <w:noProof/>
              <w:lang w:eastAsia="es-MX"/>
            </w:rPr>
          </w:pPr>
          <w:r w:rsidRPr="0002416F">
            <w:rPr>
              <w:noProof/>
              <w:lang w:eastAsia="es-MX"/>
            </w:rPr>
            <w:t xml:space="preserve">   </w:t>
          </w:r>
        </w:p>
      </w:tc>
      <w:tc>
        <w:tcPr>
          <w:tcW w:w="5656" w:type="dxa"/>
          <w:shd w:val="clear" w:color="auto" w:fill="auto"/>
        </w:tcPr>
        <w:p w:rsidR="008334E2" w:rsidRPr="0002416F" w:rsidRDefault="008334E2" w:rsidP="008F716E">
          <w:pPr>
            <w:pStyle w:val="Encabezado"/>
            <w:jc w:val="both"/>
            <w:rPr>
              <w:rFonts w:ascii="Arial" w:hAnsi="Arial" w:cs="Arial"/>
              <w:b/>
              <w:w w:val="200"/>
            </w:rPr>
          </w:pPr>
        </w:p>
        <w:p w:rsidR="008334E2" w:rsidRPr="0002416F" w:rsidRDefault="008334E2" w:rsidP="008F716E">
          <w:pPr>
            <w:pStyle w:val="Encabezado"/>
            <w:jc w:val="right"/>
            <w:rPr>
              <w:noProof/>
              <w:lang w:eastAsia="es-MX"/>
            </w:rPr>
          </w:pPr>
          <w:r w:rsidRPr="0002416F">
            <w:rPr>
              <w:rFonts w:ascii="Arial" w:hAnsi="Arial" w:cs="Arial"/>
              <w:b/>
              <w:w w:val="200"/>
            </w:rPr>
            <w:t>Anexo Of. DGP/</w:t>
          </w:r>
          <w:r>
            <w:rPr>
              <w:rFonts w:ascii="Arial" w:hAnsi="Arial" w:cs="Arial"/>
              <w:b/>
              <w:w w:val="200"/>
            </w:rPr>
            <w:t>2133/19</w:t>
          </w:r>
          <w:r w:rsidRPr="0002416F">
            <w:rPr>
              <w:rFonts w:ascii="Arial" w:hAnsi="Arial" w:cs="Arial"/>
              <w:b/>
              <w:w w:val="200"/>
            </w:rPr>
            <w:t xml:space="preserve">                                                                                                                                                             </w:t>
          </w:r>
        </w:p>
      </w:tc>
    </w:tr>
    <w:tr w:rsidR="008334E2" w:rsidRPr="00963234" w:rsidTr="008F716E">
      <w:trPr>
        <w:trHeight w:val="254"/>
      </w:trPr>
      <w:tc>
        <w:tcPr>
          <w:tcW w:w="3632" w:type="dxa"/>
          <w:vMerge/>
          <w:shd w:val="clear" w:color="auto" w:fill="auto"/>
        </w:tcPr>
        <w:p w:rsidR="008334E2" w:rsidRPr="00963234" w:rsidRDefault="008334E2" w:rsidP="008F716E">
          <w:pPr>
            <w:pStyle w:val="Encabezado"/>
            <w:rPr>
              <w:noProof/>
              <w:sz w:val="18"/>
              <w:szCs w:val="18"/>
              <w:u w:val="single"/>
              <w:lang w:eastAsia="es-MX"/>
            </w:rPr>
          </w:pPr>
        </w:p>
      </w:tc>
      <w:tc>
        <w:tcPr>
          <w:tcW w:w="5656" w:type="dxa"/>
          <w:shd w:val="clear" w:color="auto" w:fill="auto"/>
        </w:tcPr>
        <w:p w:rsidR="008334E2" w:rsidRPr="00963234" w:rsidRDefault="008334E2" w:rsidP="008F716E">
          <w:pPr>
            <w:pStyle w:val="Encabezado"/>
            <w:jc w:val="right"/>
            <w:rPr>
              <w:noProof/>
              <w:sz w:val="18"/>
              <w:szCs w:val="18"/>
              <w:u w:val="single"/>
              <w:lang w:eastAsia="es-MX"/>
            </w:rPr>
          </w:pPr>
          <w:r>
            <w:rPr>
              <w:rStyle w:val="Nmerodepgina"/>
              <w:rFonts w:ascii="Arial" w:hAnsi="Arial" w:cs="Arial"/>
              <w:b/>
              <w:sz w:val="18"/>
              <w:szCs w:val="18"/>
              <w:u w:val="single"/>
            </w:rPr>
            <w:t>1º SEGUIMIENTO DE OBSERVACIONES</w:t>
          </w:r>
          <w:r w:rsidRPr="00963234">
            <w:rPr>
              <w:rStyle w:val="Nmerodepgina"/>
              <w:rFonts w:ascii="Arial" w:hAnsi="Arial" w:cs="Arial"/>
              <w:b/>
              <w:sz w:val="18"/>
              <w:szCs w:val="18"/>
              <w:u w:val="single"/>
            </w:rPr>
            <w:t xml:space="preserve"> DE AUDITORIA</w:t>
          </w:r>
        </w:p>
      </w:tc>
    </w:tr>
  </w:tbl>
  <w:p w:rsidR="008334E2" w:rsidRDefault="008334E2"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30449B"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Sistema Intermunicipal de los Servicios de Agua Potable y Alcantarillado</w:t>
    </w:r>
    <w:r w:rsidR="004F1F27">
      <w:rPr>
        <w:rFonts w:ascii="Arial Rounded MT Bold" w:eastAsia="Arial Unicode MS" w:hAnsi="Arial Rounded MT Bold" w:cs="Arial"/>
        <w:sz w:val="28"/>
        <w:szCs w:val="28"/>
        <w:lang w:val="es-ES_tradnl"/>
      </w:rPr>
      <w:t xml:space="preserve"> </w:t>
    </w:r>
    <w:r w:rsidR="00B01467">
      <w:rPr>
        <w:rFonts w:ascii="Arial Rounded MT Bold" w:eastAsia="Arial Unicode MS" w:hAnsi="Arial Rounded MT Bold" w:cs="Arial"/>
        <w:sz w:val="28"/>
        <w:szCs w:val="28"/>
        <w:lang w:val="es-ES_tradnl"/>
      </w:rPr>
      <w:t>(</w:t>
    </w:r>
    <w:r>
      <w:rPr>
        <w:rFonts w:ascii="Arial Rounded MT Bold" w:eastAsia="Arial Unicode MS" w:hAnsi="Arial Rounded MT Bold" w:cs="Arial"/>
        <w:sz w:val="28"/>
        <w:szCs w:val="28"/>
        <w:lang w:val="es-ES_tradnl"/>
      </w:rPr>
      <w:t>SIAPA</w:t>
    </w:r>
    <w:r w:rsidR="00B01467">
      <w:rPr>
        <w:rFonts w:ascii="Arial Rounded MT Bold" w:eastAsia="Arial Unicode MS" w:hAnsi="Arial Rounded MT Bold" w:cs="Arial"/>
        <w:sz w:val="28"/>
        <w:szCs w:val="28"/>
        <w:lang w:val="es-ES_tradnl"/>
      </w:rPr>
      <w:t>)</w:t>
    </w:r>
  </w:p>
  <w:p w:rsidR="001E1583" w:rsidRPr="001354B6" w:rsidRDefault="00B01467"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Del 1 de enero al 31 de Diciembre del 201</w:t>
    </w:r>
    <w:r w:rsidR="0030449B">
      <w:rPr>
        <w:rFonts w:ascii="Arial Rounded MT Bold" w:hAnsi="Arial Rounded MT Bold" w:cs="Arial"/>
        <w:bCs/>
        <w:szCs w:val="18"/>
        <w:lang w:val="es-ES_tradnl" w:eastAsia="es-ES_tradnl"/>
      </w:rPr>
      <w:t>5</w:t>
    </w:r>
    <w:r>
      <w:rPr>
        <w:rFonts w:ascii="Arial Rounded MT Bold" w:hAnsi="Arial Rounded MT Bold" w:cs="Arial"/>
        <w:bCs/>
        <w:szCs w:val="18"/>
        <w:lang w:val="es-ES_tradnl" w:eastAsia="es-ES_tradnl"/>
      </w:rPr>
      <w:t xml:space="preserve">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721C36">
      <w:rPr>
        <w:rFonts w:ascii="Arial Rounded MT Bold" w:hAnsi="Arial Rounded MT Bold" w:cs="Arial"/>
        <w:b/>
        <w:sz w:val="28"/>
        <w:szCs w:val="28"/>
      </w:rPr>
      <w:t>“</w:t>
    </w:r>
    <w:r w:rsidR="00BD6A17">
      <w:rPr>
        <w:rFonts w:ascii="Arial Rounded MT Bold" w:hAnsi="Arial Rounded MT Bold" w:cs="Arial"/>
        <w:b/>
        <w:sz w:val="28"/>
        <w:szCs w:val="28"/>
      </w:rPr>
      <w:t>CC</w:t>
    </w:r>
    <w:r w:rsidR="00721C36">
      <w:rPr>
        <w:rFonts w:ascii="Arial Rounded MT Bold" w:hAnsi="Arial Rounded MT Bold" w:cs="Arial"/>
        <w:b/>
        <w:sz w:val="28"/>
        <w:szCs w:val="28"/>
      </w:rPr>
      <w:t>”</w:t>
    </w:r>
  </w:p>
  <w:p w:rsidR="001E1583" w:rsidRPr="001E1583" w:rsidRDefault="00721C36" w:rsidP="001E1583">
    <w:pPr>
      <w:jc w:val="center"/>
      <w:rPr>
        <w:rFonts w:ascii="Arial Rounded MT Bold" w:hAnsi="Arial Rounded MT Bold"/>
        <w:sz w:val="28"/>
        <w:szCs w:val="28"/>
      </w:rPr>
    </w:pPr>
    <w:r>
      <w:rPr>
        <w:rFonts w:ascii="Arial Rounded MT Bold" w:hAnsi="Arial Rounded MT Bold"/>
        <w:sz w:val="28"/>
        <w:szCs w:val="28"/>
      </w:rPr>
      <w:t>Conclusión OEC</w:t>
    </w:r>
    <w:r w:rsidR="001E1583" w:rsidRPr="00B12C2D">
      <w:rPr>
        <w:rFonts w:ascii="Arial Rounded MT Bold" w:hAnsi="Arial Rounded MT Bold"/>
        <w:sz w:val="28"/>
        <w:szCs w:val="28"/>
      </w:rPr>
      <w:t xml:space="preserve"> de la Observación No.1.</w:t>
    </w:r>
    <w:r w:rsidR="00BD6A17">
      <w:rPr>
        <w:rFonts w:ascii="Arial Rounded MT Bold" w:hAnsi="Arial Rounded MT Bold"/>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A5270"/>
    <w:multiLevelType w:val="hybridMultilevel"/>
    <w:tmpl w:val="A0C08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F65145F"/>
    <w:multiLevelType w:val="hybridMultilevel"/>
    <w:tmpl w:val="26862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583"/>
    <w:rsid w:val="00037DC7"/>
    <w:rsid w:val="000729DF"/>
    <w:rsid w:val="000753AA"/>
    <w:rsid w:val="000779E7"/>
    <w:rsid w:val="000A717A"/>
    <w:rsid w:val="000D1BAE"/>
    <w:rsid w:val="000D6AE9"/>
    <w:rsid w:val="00110CEE"/>
    <w:rsid w:val="001267EA"/>
    <w:rsid w:val="00177A46"/>
    <w:rsid w:val="001E1583"/>
    <w:rsid w:val="00293C40"/>
    <w:rsid w:val="002A33CC"/>
    <w:rsid w:val="002A54D8"/>
    <w:rsid w:val="002A6375"/>
    <w:rsid w:val="002C7CCC"/>
    <w:rsid w:val="002D220E"/>
    <w:rsid w:val="0030449B"/>
    <w:rsid w:val="0033387E"/>
    <w:rsid w:val="00354928"/>
    <w:rsid w:val="003C6CFA"/>
    <w:rsid w:val="003D4F47"/>
    <w:rsid w:val="003F31B7"/>
    <w:rsid w:val="00430820"/>
    <w:rsid w:val="00444122"/>
    <w:rsid w:val="00483AF2"/>
    <w:rsid w:val="004F1F27"/>
    <w:rsid w:val="004F595F"/>
    <w:rsid w:val="00524333"/>
    <w:rsid w:val="00556262"/>
    <w:rsid w:val="00576FDA"/>
    <w:rsid w:val="005A240F"/>
    <w:rsid w:val="005C17D3"/>
    <w:rsid w:val="005D22CE"/>
    <w:rsid w:val="005E6DCC"/>
    <w:rsid w:val="00630B71"/>
    <w:rsid w:val="00674433"/>
    <w:rsid w:val="00687522"/>
    <w:rsid w:val="006A555D"/>
    <w:rsid w:val="00721C36"/>
    <w:rsid w:val="00731503"/>
    <w:rsid w:val="00732905"/>
    <w:rsid w:val="00762A9E"/>
    <w:rsid w:val="007B05EE"/>
    <w:rsid w:val="007B49FB"/>
    <w:rsid w:val="00822A9C"/>
    <w:rsid w:val="008334E2"/>
    <w:rsid w:val="00874C0D"/>
    <w:rsid w:val="0088234F"/>
    <w:rsid w:val="008F3F49"/>
    <w:rsid w:val="009259DC"/>
    <w:rsid w:val="0092700B"/>
    <w:rsid w:val="00960859"/>
    <w:rsid w:val="009C0101"/>
    <w:rsid w:val="009D6F62"/>
    <w:rsid w:val="00A10A49"/>
    <w:rsid w:val="00A17123"/>
    <w:rsid w:val="00A26D40"/>
    <w:rsid w:val="00A917AC"/>
    <w:rsid w:val="00AA4EE0"/>
    <w:rsid w:val="00AE0C5D"/>
    <w:rsid w:val="00AF2C5C"/>
    <w:rsid w:val="00AF6314"/>
    <w:rsid w:val="00B01467"/>
    <w:rsid w:val="00B03861"/>
    <w:rsid w:val="00B2687D"/>
    <w:rsid w:val="00B45895"/>
    <w:rsid w:val="00B62D86"/>
    <w:rsid w:val="00BA0618"/>
    <w:rsid w:val="00BC02C8"/>
    <w:rsid w:val="00BD17BB"/>
    <w:rsid w:val="00BD6A17"/>
    <w:rsid w:val="00BD7357"/>
    <w:rsid w:val="00C42107"/>
    <w:rsid w:val="00C43C7F"/>
    <w:rsid w:val="00C5111E"/>
    <w:rsid w:val="00C5659A"/>
    <w:rsid w:val="00C57CC1"/>
    <w:rsid w:val="00C60BB5"/>
    <w:rsid w:val="00C74E4E"/>
    <w:rsid w:val="00C9183B"/>
    <w:rsid w:val="00CA5411"/>
    <w:rsid w:val="00CD31F5"/>
    <w:rsid w:val="00CF4447"/>
    <w:rsid w:val="00CF63D7"/>
    <w:rsid w:val="00D0633F"/>
    <w:rsid w:val="00D72F68"/>
    <w:rsid w:val="00D77A42"/>
    <w:rsid w:val="00D80D0E"/>
    <w:rsid w:val="00DA55A8"/>
    <w:rsid w:val="00E225CF"/>
    <w:rsid w:val="00E4227D"/>
    <w:rsid w:val="00E76A1C"/>
    <w:rsid w:val="00EA24C4"/>
    <w:rsid w:val="00EB1101"/>
    <w:rsid w:val="00ED0335"/>
    <w:rsid w:val="00ED254B"/>
    <w:rsid w:val="00EE251B"/>
    <w:rsid w:val="00EE4ED5"/>
    <w:rsid w:val="00F24D75"/>
    <w:rsid w:val="00F361BF"/>
    <w:rsid w:val="00F64C05"/>
    <w:rsid w:val="00F679AB"/>
    <w:rsid w:val="00F7503B"/>
    <w:rsid w:val="00FB0386"/>
    <w:rsid w:val="00FF05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39"/>
    <w:rsid w:val="0030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687D"/>
    <w:pPr>
      <w:ind w:left="720"/>
      <w:contextualSpacing/>
    </w:pPr>
  </w:style>
  <w:style w:type="character" w:styleId="Nmerodepgina">
    <w:name w:val="page number"/>
    <w:basedOn w:val="Fuentedeprrafopredeter"/>
    <w:rsid w:val="00833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14</cp:revision>
  <cp:lastPrinted>2019-05-23T17:13:00Z</cp:lastPrinted>
  <dcterms:created xsi:type="dcterms:W3CDTF">2019-03-22T20:48:00Z</dcterms:created>
  <dcterms:modified xsi:type="dcterms:W3CDTF">2019-05-23T17:13:00Z</dcterms:modified>
</cp:coreProperties>
</file>