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6" w:rsidRPr="00207603" w:rsidRDefault="00F20C86" w:rsidP="00532654">
      <w:pPr>
        <w:pStyle w:val="Ttulo"/>
        <w:spacing w:line="288" w:lineRule="auto"/>
        <w:jc w:val="right"/>
        <w:rPr>
          <w:rFonts w:cs="Arial"/>
          <w:b/>
          <w:sz w:val="18"/>
          <w:szCs w:val="18"/>
        </w:rPr>
      </w:pPr>
      <w:r w:rsidRPr="00207603">
        <w:rPr>
          <w:rFonts w:cs="Arial"/>
          <w:b/>
          <w:sz w:val="18"/>
          <w:szCs w:val="18"/>
        </w:rPr>
        <w:t>Oficio.- D.G./528/2016</w:t>
      </w:r>
    </w:p>
    <w:p w:rsidR="00F20C86" w:rsidRPr="00207603" w:rsidRDefault="00F20C86" w:rsidP="00F20C86">
      <w:pPr>
        <w:spacing w:line="288" w:lineRule="auto"/>
        <w:ind w:right="3168"/>
        <w:jc w:val="both"/>
        <w:rPr>
          <w:rFonts w:ascii="Arial" w:hAnsi="Arial" w:cs="Arial"/>
          <w:sz w:val="18"/>
          <w:szCs w:val="18"/>
        </w:rPr>
      </w:pPr>
    </w:p>
    <w:p w:rsidR="00F20C86" w:rsidRPr="00207603" w:rsidRDefault="00F20C86" w:rsidP="00F20C86">
      <w:pPr>
        <w:spacing w:line="288" w:lineRule="auto"/>
        <w:ind w:right="3168"/>
        <w:jc w:val="both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vanish/>
          <w:sz w:val="18"/>
          <w:szCs w:val="18"/>
        </w:rPr>
        <w:cr/>
        <w:t xml:space="preserve"> auxiliar de la cuenta 1005-04- 1005-04-0028-00.motivos señalados anteriormente.ico ntrato por $21'echa, aun esta en implementa</w:t>
      </w:r>
      <w:r w:rsidR="00AE1C0E" w:rsidRPr="00207603">
        <w:rPr>
          <w:rFonts w:ascii="Arial" w:hAnsi="Arial" w:cs="Arial"/>
          <w:b/>
          <w:sz w:val="18"/>
          <w:szCs w:val="18"/>
        </w:rPr>
        <w:t>MTRA. MARÍA TERESA BRITO SERRANO</w:t>
      </w:r>
    </w:p>
    <w:p w:rsidR="00F20C86" w:rsidRPr="00207603" w:rsidRDefault="00F20C86" w:rsidP="00F20C86">
      <w:pPr>
        <w:spacing w:line="288" w:lineRule="auto"/>
        <w:ind w:right="3168"/>
        <w:jc w:val="both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CONTRALOR</w:t>
      </w:r>
      <w:r w:rsidR="00AE1C0E" w:rsidRPr="00207603">
        <w:rPr>
          <w:rFonts w:ascii="Arial" w:hAnsi="Arial" w:cs="Arial"/>
          <w:b/>
          <w:sz w:val="18"/>
          <w:szCs w:val="18"/>
        </w:rPr>
        <w:t>A</w:t>
      </w:r>
      <w:r w:rsidRPr="00207603">
        <w:rPr>
          <w:rFonts w:ascii="Arial" w:hAnsi="Arial" w:cs="Arial"/>
          <w:b/>
          <w:sz w:val="18"/>
          <w:szCs w:val="18"/>
        </w:rPr>
        <w:t xml:space="preserve"> DEL ESTADO DE JALISCO. </w:t>
      </w:r>
    </w:p>
    <w:p w:rsidR="00F20C86" w:rsidRPr="00207603" w:rsidRDefault="00F20C86" w:rsidP="00F20C86">
      <w:pPr>
        <w:spacing w:line="288" w:lineRule="auto"/>
        <w:ind w:right="3168"/>
        <w:jc w:val="both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P R E S E N T E:</w:t>
      </w:r>
    </w:p>
    <w:p w:rsidR="00F20C86" w:rsidRPr="00207603" w:rsidRDefault="00F20C86" w:rsidP="00F20C86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20C86" w:rsidRPr="00207603" w:rsidRDefault="00F20C86" w:rsidP="00F20C8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 xml:space="preserve">Por medio del presente oficio, aunado a un cordial saludo, me permito dar contestación a su oficio No. DGP/1003/16 de fecha 16 de febrero del 2016, recibido en este organismo el </w:t>
      </w:r>
      <w:r w:rsidR="00D507C0" w:rsidRPr="00207603">
        <w:rPr>
          <w:rFonts w:ascii="Arial" w:hAnsi="Arial" w:cs="Arial"/>
          <w:sz w:val="18"/>
          <w:szCs w:val="18"/>
        </w:rPr>
        <w:t xml:space="preserve">25 de febrero </w:t>
      </w:r>
      <w:r w:rsidRPr="00207603">
        <w:rPr>
          <w:rFonts w:ascii="Arial" w:hAnsi="Arial" w:cs="Arial"/>
          <w:sz w:val="18"/>
          <w:szCs w:val="18"/>
        </w:rPr>
        <w:t xml:space="preserve">del 2016, mediante el cual instruye a efecto de dar seguimiento a la observación 7.1 pendiente de </w:t>
      </w:r>
      <w:proofErr w:type="spellStart"/>
      <w:r w:rsidRPr="00207603">
        <w:rPr>
          <w:rFonts w:ascii="Arial" w:hAnsi="Arial" w:cs="Arial"/>
          <w:sz w:val="18"/>
          <w:szCs w:val="18"/>
        </w:rPr>
        <w:t>solventación</w:t>
      </w:r>
      <w:proofErr w:type="spellEnd"/>
      <w:r w:rsidRPr="00207603">
        <w:rPr>
          <w:rFonts w:ascii="Arial" w:hAnsi="Arial" w:cs="Arial"/>
          <w:sz w:val="18"/>
          <w:szCs w:val="18"/>
        </w:rPr>
        <w:t>, respecto de la Auditoría practicada al Sistema de los Servicios de Agua Potable, Drenaje y Alcantarillado de Puerto Vallarta, por los periodos comprendidos del 01 de Agosto al 31 de Diciembre del año 2011, del 01 de Enero al 31 de Diciembre del 2012 y del 01 de Enero al 31 de Mayo del 2013.</w:t>
      </w:r>
    </w:p>
    <w:p w:rsidR="00D507C0" w:rsidRPr="00207603" w:rsidRDefault="00D507C0" w:rsidP="00F20C8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Para tal efecto, se giró instrucción a la Gerencia de Calificación y Catastro, la cual informo el seguimiento brindado a la observación, mediante oficio G.C.C./137/2016, el cual informa lo siguiente:</w:t>
      </w: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9° NOVENO SEGUIIMIENTO AL PUNTO 7.1.:</w:t>
      </w: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En cuanto a los 37,222 contratos por un importe de $68</w:t>
      </w:r>
      <w:proofErr w:type="gramStart"/>
      <w:r w:rsidRPr="00207603">
        <w:rPr>
          <w:rFonts w:ascii="Arial" w:hAnsi="Arial" w:cs="Arial"/>
          <w:sz w:val="18"/>
          <w:szCs w:val="18"/>
        </w:rPr>
        <w:t>,030,317.62</w:t>
      </w:r>
      <w:proofErr w:type="gramEnd"/>
      <w:r w:rsidRPr="00207603">
        <w:rPr>
          <w:rFonts w:ascii="Arial" w:hAnsi="Arial" w:cs="Arial"/>
          <w:sz w:val="18"/>
          <w:szCs w:val="18"/>
        </w:rPr>
        <w:t xml:space="preserve"> millones con fecha de corte al 31 de mayo de 2013, que contempla el anexo 3, esta misma cartera de usuarios se actualizó a valor presente (</w:t>
      </w:r>
      <w:r w:rsidRPr="00207603">
        <w:rPr>
          <w:rFonts w:ascii="Arial" w:hAnsi="Arial" w:cs="Arial"/>
          <w:b/>
          <w:sz w:val="18"/>
          <w:szCs w:val="18"/>
          <w:u w:val="single"/>
        </w:rPr>
        <w:t>con  fecha de corte 16 de marzo de 2016</w:t>
      </w:r>
      <w:r w:rsidRPr="00207603">
        <w:rPr>
          <w:rFonts w:ascii="Arial" w:hAnsi="Arial" w:cs="Arial"/>
          <w:sz w:val="18"/>
          <w:szCs w:val="18"/>
          <w:u w:val="single"/>
        </w:rPr>
        <w:t>)</w:t>
      </w:r>
      <w:r w:rsidRPr="00207603">
        <w:rPr>
          <w:rFonts w:ascii="Arial" w:hAnsi="Arial" w:cs="Arial"/>
          <w:sz w:val="18"/>
          <w:szCs w:val="18"/>
        </w:rPr>
        <w:t>, teniendo los siguientes resultados:</w:t>
      </w: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a)</w:t>
      </w:r>
      <w:r w:rsidRPr="00207603">
        <w:rPr>
          <w:rFonts w:ascii="Arial" w:hAnsi="Arial" w:cs="Arial"/>
          <w:sz w:val="18"/>
          <w:szCs w:val="18"/>
        </w:rPr>
        <w:tab/>
        <w:t>Sobre los 37,222 contratos observados se cuenta a la fecha con un importe a la de $64</w:t>
      </w:r>
      <w:proofErr w:type="gramStart"/>
      <w:r w:rsidRPr="00207603">
        <w:rPr>
          <w:rFonts w:ascii="Arial" w:hAnsi="Arial" w:cs="Arial"/>
          <w:sz w:val="18"/>
          <w:szCs w:val="18"/>
        </w:rPr>
        <w:t>,274,879.90</w:t>
      </w:r>
      <w:proofErr w:type="gramEnd"/>
      <w:r w:rsidRPr="00207603">
        <w:rPr>
          <w:rFonts w:ascii="Arial" w:hAnsi="Arial" w:cs="Arial"/>
          <w:sz w:val="18"/>
          <w:szCs w:val="18"/>
        </w:rPr>
        <w:t xml:space="preserve"> millones, aclarando que este importe incluye todos los adeudos generados después del 31 de mayo del 2013, habiendo en los últimos años aumento en las tarifas de SEAPAL VALLARTA.</w:t>
      </w:r>
    </w:p>
    <w:p w:rsidR="00AE1C0E" w:rsidRPr="00207603" w:rsidRDefault="00AE1C0E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b)</w:t>
      </w:r>
      <w:r w:rsidRPr="00207603">
        <w:rPr>
          <w:rFonts w:ascii="Arial" w:hAnsi="Arial" w:cs="Arial"/>
          <w:sz w:val="18"/>
          <w:szCs w:val="18"/>
        </w:rPr>
        <w:tab/>
        <w:t>Sin embargo, de los $68</w:t>
      </w:r>
      <w:proofErr w:type="gramStart"/>
      <w:r w:rsidRPr="00207603">
        <w:rPr>
          <w:rFonts w:ascii="Arial" w:hAnsi="Arial" w:cs="Arial"/>
          <w:sz w:val="18"/>
          <w:szCs w:val="18"/>
        </w:rPr>
        <w:t>,030,317.62</w:t>
      </w:r>
      <w:proofErr w:type="gramEnd"/>
      <w:r w:rsidRPr="00207603">
        <w:rPr>
          <w:rFonts w:ascii="Arial" w:hAnsi="Arial" w:cs="Arial"/>
          <w:sz w:val="18"/>
          <w:szCs w:val="18"/>
        </w:rPr>
        <w:t xml:space="preserve"> millones observados en la auditoría que se debían al 31 de mayo de 2013, ya se ha recuperado un monto considerable a la fecha. Siendo que de los adeudos del 31 de mayo del 2016 (fecha de corte de la auditoría) se deben a la fecha solo $45</w:t>
      </w:r>
      <w:proofErr w:type="gramStart"/>
      <w:r w:rsidRPr="00207603">
        <w:rPr>
          <w:rFonts w:ascii="Arial" w:hAnsi="Arial" w:cs="Arial"/>
          <w:sz w:val="18"/>
          <w:szCs w:val="18"/>
        </w:rPr>
        <w:t>,888,429.89</w:t>
      </w:r>
      <w:proofErr w:type="gramEnd"/>
      <w:r w:rsidRPr="00207603">
        <w:rPr>
          <w:rFonts w:ascii="Arial" w:hAnsi="Arial" w:cs="Arial"/>
          <w:sz w:val="18"/>
          <w:szCs w:val="18"/>
        </w:rPr>
        <w:t xml:space="preserve"> millones; es decir, </w:t>
      </w:r>
      <w:r w:rsidRPr="00207603">
        <w:rPr>
          <w:rFonts w:ascii="Arial" w:hAnsi="Arial" w:cs="Arial"/>
          <w:b/>
          <w:sz w:val="18"/>
          <w:szCs w:val="18"/>
        </w:rPr>
        <w:t>se recuperaron de la cartera observada $22,141,887.73 millones.</w:t>
      </w:r>
    </w:p>
    <w:p w:rsidR="00AE1C0E" w:rsidRPr="00207603" w:rsidRDefault="00AE1C0E" w:rsidP="00AE1C0E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8E41B7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c</w:t>
      </w:r>
      <w:r w:rsidR="008E41B7" w:rsidRPr="00207603">
        <w:rPr>
          <w:rFonts w:ascii="Arial" w:hAnsi="Arial" w:cs="Arial"/>
          <w:sz w:val="18"/>
          <w:szCs w:val="18"/>
        </w:rPr>
        <w:t>)</w:t>
      </w:r>
      <w:r w:rsidR="008E41B7" w:rsidRPr="00207603">
        <w:rPr>
          <w:rFonts w:ascii="Arial" w:hAnsi="Arial" w:cs="Arial"/>
          <w:sz w:val="18"/>
          <w:szCs w:val="18"/>
        </w:rPr>
        <w:tab/>
        <w:t>Sobre los 37,222 contratos</w:t>
      </w:r>
      <w:r w:rsidR="000169CF" w:rsidRPr="00207603">
        <w:rPr>
          <w:rFonts w:ascii="Arial" w:hAnsi="Arial" w:cs="Arial"/>
          <w:sz w:val="18"/>
          <w:szCs w:val="18"/>
        </w:rPr>
        <w:t xml:space="preserve"> observados</w:t>
      </w:r>
      <w:r w:rsidR="008E41B7" w:rsidRPr="00207603">
        <w:rPr>
          <w:rFonts w:ascii="Arial" w:hAnsi="Arial" w:cs="Arial"/>
          <w:sz w:val="18"/>
          <w:szCs w:val="18"/>
        </w:rPr>
        <w:t xml:space="preserve"> se </w:t>
      </w:r>
      <w:r w:rsidR="000169CF" w:rsidRPr="00207603">
        <w:rPr>
          <w:rFonts w:ascii="Arial" w:hAnsi="Arial" w:cs="Arial"/>
          <w:sz w:val="18"/>
          <w:szCs w:val="18"/>
        </w:rPr>
        <w:t>desglosa de la gestión de cobro:</w:t>
      </w:r>
    </w:p>
    <w:p w:rsidR="008E41B7" w:rsidRPr="00207603" w:rsidRDefault="008E41B7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719"/>
        <w:gridCol w:w="1253"/>
      </w:tblGrid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ESTADO ACTUAL</w:t>
            </w:r>
          </w:p>
        </w:tc>
        <w:tc>
          <w:tcPr>
            <w:tcW w:w="719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Ctos</w:t>
            </w:r>
            <w:proofErr w:type="spellEnd"/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3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SERVICIOS CANCELADOS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12,350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46,720,899.89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PAGOS REALIZADOS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20,282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1,262,851.39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 ACLARACIÓN / NOTIFICADOS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2,406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8,952,960.90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 CONVENIO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847,226.58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ANOMALÍAS (en la toma o medidor)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383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3,988,503.89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FACTURACIÓN RECIENTE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1,692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2,502,442.30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719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37,222</w:t>
            </w:r>
          </w:p>
        </w:tc>
        <w:tc>
          <w:tcPr>
            <w:tcW w:w="1253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64,274,884.95</w:t>
            </w:r>
          </w:p>
        </w:tc>
      </w:tr>
    </w:tbl>
    <w:p w:rsidR="00421876" w:rsidRPr="00207603" w:rsidRDefault="00421876" w:rsidP="0042187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TÉRMINOS: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SERVICIOS CANCELADOS - Contratos que se encuentran con el servicio limitado o cancelado por adeudo, reciente o con anterioridad.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PAGOS REALIZADOS - Usuarios con adeudo que presentan pagos constantes.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EN ACLARACIÓN / NOTIFICADOS - Usuarios que tienen contratos con adeudo y solicitaron la no suspensión del servicio.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EN CONVENIO - Usuarios que celebraron convenio de reestructuración de adeudo con SEAPAL VALLARTA.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 xml:space="preserve">ANOMALÍAS TOMA/MEDIDOR - Condiciones físicas que impiden el corte de los servicios (Medidor empotrado, en interior, sin medidor, no localizado, </w:t>
      </w:r>
      <w:proofErr w:type="spellStart"/>
      <w:r w:rsidRPr="00207603">
        <w:rPr>
          <w:rFonts w:ascii="Arial" w:hAnsi="Arial" w:cs="Arial"/>
          <w:sz w:val="18"/>
          <w:szCs w:val="18"/>
        </w:rPr>
        <w:t>etc</w:t>
      </w:r>
      <w:proofErr w:type="spellEnd"/>
      <w:r w:rsidRPr="00207603">
        <w:rPr>
          <w:rFonts w:ascii="Arial" w:hAnsi="Arial" w:cs="Arial"/>
          <w:sz w:val="18"/>
          <w:szCs w:val="18"/>
        </w:rPr>
        <w:t>)</w:t>
      </w:r>
    </w:p>
    <w:p w:rsidR="00421876" w:rsidRPr="00207603" w:rsidRDefault="00421876" w:rsidP="00421876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FACTURACIÓN RECIENTE - Última facturación, aún vigente dentro del período de vencimiento.</w:t>
      </w:r>
    </w:p>
    <w:p w:rsidR="00421876" w:rsidRPr="00207603" w:rsidRDefault="00421876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8E41B7" w:rsidRPr="00207603" w:rsidRDefault="00421876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d)</w:t>
      </w:r>
      <w:r w:rsidRPr="00207603">
        <w:rPr>
          <w:rFonts w:ascii="Arial" w:hAnsi="Arial" w:cs="Arial"/>
          <w:sz w:val="18"/>
          <w:szCs w:val="18"/>
        </w:rPr>
        <w:tab/>
        <w:t>Sobre los $68</w:t>
      </w:r>
      <w:proofErr w:type="gramStart"/>
      <w:r w:rsidRPr="00207603">
        <w:rPr>
          <w:rFonts w:ascii="Arial" w:hAnsi="Arial" w:cs="Arial"/>
          <w:sz w:val="18"/>
          <w:szCs w:val="18"/>
        </w:rPr>
        <w:t>,030,317.62</w:t>
      </w:r>
      <w:proofErr w:type="gramEnd"/>
      <w:r w:rsidRPr="00207603">
        <w:rPr>
          <w:rFonts w:ascii="Arial" w:hAnsi="Arial" w:cs="Arial"/>
          <w:sz w:val="18"/>
          <w:szCs w:val="18"/>
        </w:rPr>
        <w:t xml:space="preserve"> millones observados en la auditoría que se debían al 31 de mayo de 2013, se desglosa de la gestión de cobro a la fecha, restando únicamente 2,974 contratos con adeudos más antiguos del 31 de mayo del 2013:</w:t>
      </w:r>
    </w:p>
    <w:p w:rsidR="00207603" w:rsidRPr="00207603" w:rsidRDefault="00207603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630"/>
        <w:gridCol w:w="1253"/>
      </w:tblGrid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ESTADO ACTUAL</w:t>
            </w:r>
          </w:p>
        </w:tc>
        <w:tc>
          <w:tcPr>
            <w:tcW w:w="630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Ctos</w:t>
            </w:r>
            <w:proofErr w:type="spellEnd"/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3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SERVICIOS CANCELADOS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2,531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36,136,113.84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PAGOS REALIZADOS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7,377.56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 ACLARACIÓN / NOTIFICADOS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6,331,946.22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 CONVENIO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71,506.49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ANOMALÍAS (en la toma o medidor)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262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3,336,425.45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FACTURACIÓN RECIENTE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5,060.33</w:t>
            </w:r>
          </w:p>
        </w:tc>
      </w:tr>
      <w:tr w:rsidR="008E41B7" w:rsidRPr="00207603" w:rsidTr="00207603">
        <w:trPr>
          <w:trHeight w:val="20"/>
          <w:jc w:val="center"/>
        </w:trPr>
        <w:tc>
          <w:tcPr>
            <w:tcW w:w="2958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630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2,974</w:t>
            </w:r>
          </w:p>
        </w:tc>
        <w:tc>
          <w:tcPr>
            <w:tcW w:w="1253" w:type="dxa"/>
            <w:shd w:val="clear" w:color="auto" w:fill="F4B083" w:themeFill="accent2" w:themeFillTint="99"/>
            <w:noWrap/>
            <w:vAlign w:val="bottom"/>
            <w:hideMark/>
          </w:tcPr>
          <w:p w:rsidR="008E41B7" w:rsidRPr="00207603" w:rsidRDefault="008E41B7" w:rsidP="008E41B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76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45,888,429.89</w:t>
            </w:r>
          </w:p>
        </w:tc>
      </w:tr>
    </w:tbl>
    <w:p w:rsidR="000169CF" w:rsidRPr="00207603" w:rsidRDefault="000169CF" w:rsidP="000169CF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21876" w:rsidRDefault="00AE1C0E" w:rsidP="0042187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e</w:t>
      </w:r>
      <w:r w:rsidR="00421876" w:rsidRPr="00207603">
        <w:rPr>
          <w:rFonts w:ascii="Arial" w:hAnsi="Arial" w:cs="Arial"/>
          <w:sz w:val="18"/>
          <w:szCs w:val="18"/>
        </w:rPr>
        <w:t>)</w:t>
      </w:r>
      <w:r w:rsidR="00421876" w:rsidRPr="00207603">
        <w:rPr>
          <w:rFonts w:ascii="Arial" w:hAnsi="Arial" w:cs="Arial"/>
          <w:sz w:val="18"/>
          <w:szCs w:val="18"/>
        </w:rPr>
        <w:tab/>
        <w:t>Sobre los 37,222 contratos observados se tienen establecidas medidas de control, seguimiento, gestión de cobro y recuperación de cartera vencida, continuando con la limitación y corte de los servicios, estos se realizan con recursos propios, (programa interno de cobranza) y se cuenta a la fecha con un importe a la de $64,274,879.90 millones, desglosándolo por fecha de adeudo:</w:t>
      </w:r>
    </w:p>
    <w:p w:rsidR="00207603" w:rsidRDefault="00207603" w:rsidP="0042187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07603" w:rsidRPr="00207603" w:rsidRDefault="00207603" w:rsidP="0042187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21876" w:rsidRPr="00207603" w:rsidRDefault="00421876" w:rsidP="000169CF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3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719"/>
        <w:gridCol w:w="1392"/>
      </w:tblGrid>
      <w:tr w:rsidR="000169CF" w:rsidRPr="00207603" w:rsidTr="00207603">
        <w:trPr>
          <w:trHeight w:val="11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69CF" w:rsidRPr="00207603" w:rsidRDefault="000169CF" w:rsidP="000425A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 años en adelante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1,909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69CF" w:rsidRPr="00207603" w:rsidRDefault="00421876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0169CF"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37,720,680.90</w:t>
            </w:r>
          </w:p>
        </w:tc>
      </w:tr>
      <w:tr w:rsidR="000169CF" w:rsidRPr="00207603" w:rsidTr="00207603">
        <w:trPr>
          <w:trHeight w:val="113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169CF" w:rsidRPr="00207603" w:rsidRDefault="000169CF" w:rsidP="000425A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 a 4 años 364 días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2,193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169CF" w:rsidRPr="00207603" w:rsidRDefault="00421876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0169CF"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12,105,274.04</w:t>
            </w:r>
          </w:p>
        </w:tc>
      </w:tr>
      <w:tr w:rsidR="000169CF" w:rsidRPr="00207603" w:rsidTr="00207603">
        <w:trPr>
          <w:trHeight w:val="113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69CF" w:rsidRPr="00207603" w:rsidRDefault="000169CF" w:rsidP="000425A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MENOR 1 AÑO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6,900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69CF" w:rsidRPr="00207603" w:rsidRDefault="00421876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0169CF"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6,629,852.54</w:t>
            </w:r>
          </w:p>
        </w:tc>
      </w:tr>
      <w:tr w:rsidR="000169CF" w:rsidRPr="00207603" w:rsidTr="00207603">
        <w:trPr>
          <w:trHeight w:val="113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F" w:rsidRPr="00207603" w:rsidRDefault="000169CF" w:rsidP="000425A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VIGENTE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7,622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F" w:rsidRPr="00207603" w:rsidRDefault="00421876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0169CF"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7,819,077.47</w:t>
            </w:r>
          </w:p>
        </w:tc>
      </w:tr>
      <w:tr w:rsidR="000169CF" w:rsidRPr="00207603" w:rsidTr="00207603">
        <w:trPr>
          <w:trHeight w:val="113"/>
          <w:jc w:val="center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37,222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F" w:rsidRPr="00207603" w:rsidRDefault="000169CF" w:rsidP="000425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0760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64,274,884.95</w:t>
            </w:r>
          </w:p>
        </w:tc>
      </w:tr>
    </w:tbl>
    <w:p w:rsidR="00421876" w:rsidRPr="00207603" w:rsidRDefault="00421876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421876" w:rsidP="0042187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Por otra parte, e</w:t>
      </w:r>
      <w:r w:rsidR="00D507C0" w:rsidRPr="00207603">
        <w:rPr>
          <w:rFonts w:ascii="Arial" w:hAnsi="Arial" w:cs="Arial"/>
          <w:sz w:val="18"/>
          <w:szCs w:val="18"/>
        </w:rPr>
        <w:t xml:space="preserve">n cuanto a </w:t>
      </w:r>
      <w:r w:rsidR="00AE1C0E" w:rsidRPr="00207603">
        <w:rPr>
          <w:rFonts w:ascii="Arial" w:hAnsi="Arial" w:cs="Arial"/>
          <w:sz w:val="18"/>
          <w:szCs w:val="18"/>
        </w:rPr>
        <w:t>los 43 contratos que se mencionaron</w:t>
      </w:r>
      <w:r w:rsidR="00D507C0" w:rsidRPr="00207603">
        <w:rPr>
          <w:rFonts w:ascii="Arial" w:hAnsi="Arial" w:cs="Arial"/>
          <w:sz w:val="18"/>
          <w:szCs w:val="18"/>
        </w:rPr>
        <w:t xml:space="preserve"> en seguimientos anteriores </w:t>
      </w:r>
      <w:r w:rsidR="00AE1C0E" w:rsidRPr="00207603">
        <w:rPr>
          <w:rFonts w:ascii="Arial" w:hAnsi="Arial" w:cs="Arial"/>
          <w:sz w:val="18"/>
          <w:szCs w:val="18"/>
        </w:rPr>
        <w:t>como</w:t>
      </w:r>
      <w:r w:rsidR="00D507C0" w:rsidRPr="00207603">
        <w:rPr>
          <w:rFonts w:ascii="Arial" w:hAnsi="Arial" w:cs="Arial"/>
          <w:sz w:val="18"/>
          <w:szCs w:val="18"/>
        </w:rPr>
        <w:t xml:space="preserve"> prescritos por la cantidad de $1</w:t>
      </w:r>
      <w:proofErr w:type="gramStart"/>
      <w:r w:rsidR="00D507C0" w:rsidRPr="00207603">
        <w:rPr>
          <w:rFonts w:ascii="Arial" w:hAnsi="Arial" w:cs="Arial"/>
          <w:sz w:val="18"/>
          <w:szCs w:val="18"/>
        </w:rPr>
        <w:t>,730,206.24</w:t>
      </w:r>
      <w:proofErr w:type="gramEnd"/>
      <w:r w:rsidR="00D507C0" w:rsidRPr="00207603">
        <w:rPr>
          <w:rFonts w:ascii="Arial" w:hAnsi="Arial" w:cs="Arial"/>
          <w:sz w:val="18"/>
          <w:szCs w:val="18"/>
        </w:rPr>
        <w:t xml:space="preserve">, se hace la aclaración que </w:t>
      </w:r>
      <w:r w:rsidR="00AE1C0E" w:rsidRPr="00207603">
        <w:rPr>
          <w:rFonts w:ascii="Arial" w:hAnsi="Arial" w:cs="Arial"/>
          <w:sz w:val="18"/>
          <w:szCs w:val="18"/>
        </w:rPr>
        <w:t xml:space="preserve">no a todos se les aplico la  prescripción, sino que solo </w:t>
      </w:r>
      <w:r w:rsidR="00D507C0" w:rsidRPr="00207603">
        <w:rPr>
          <w:rFonts w:ascii="Arial" w:hAnsi="Arial" w:cs="Arial"/>
          <w:sz w:val="18"/>
          <w:szCs w:val="18"/>
        </w:rPr>
        <w:t xml:space="preserve">eran peticiones de prescripción; sin embargo, en una nueva revisión se encontró que </w:t>
      </w:r>
      <w:r w:rsidR="00AE1C0E" w:rsidRPr="00207603">
        <w:rPr>
          <w:rFonts w:ascii="Arial" w:hAnsi="Arial" w:cs="Arial"/>
          <w:sz w:val="18"/>
          <w:szCs w:val="18"/>
        </w:rPr>
        <w:t>únicamente a</w:t>
      </w:r>
      <w:r w:rsidR="00D507C0" w:rsidRPr="00207603">
        <w:rPr>
          <w:rFonts w:ascii="Arial" w:hAnsi="Arial" w:cs="Arial"/>
          <w:sz w:val="18"/>
          <w:szCs w:val="18"/>
        </w:rPr>
        <w:t xml:space="preserve"> 30 treinta contratos a los cuales </w:t>
      </w:r>
      <w:r w:rsidR="00AE1C0E" w:rsidRPr="00207603">
        <w:rPr>
          <w:rFonts w:ascii="Arial" w:hAnsi="Arial" w:cs="Arial"/>
          <w:sz w:val="18"/>
          <w:szCs w:val="18"/>
        </w:rPr>
        <w:t>se les aplicó efectivamente</w:t>
      </w:r>
      <w:r w:rsidR="00D507C0" w:rsidRPr="00207603">
        <w:rPr>
          <w:rFonts w:ascii="Arial" w:hAnsi="Arial" w:cs="Arial"/>
          <w:sz w:val="18"/>
          <w:szCs w:val="18"/>
        </w:rPr>
        <w:t xml:space="preserve"> la prescripción</w:t>
      </w:r>
      <w:r w:rsidR="00AE1C0E" w:rsidRPr="00207603">
        <w:rPr>
          <w:rFonts w:ascii="Arial" w:hAnsi="Arial" w:cs="Arial"/>
          <w:sz w:val="18"/>
          <w:szCs w:val="18"/>
        </w:rPr>
        <w:t xml:space="preserve"> de adeudos</w:t>
      </w:r>
      <w:r w:rsidR="00D507C0" w:rsidRPr="00207603">
        <w:rPr>
          <w:rFonts w:ascii="Arial" w:hAnsi="Arial" w:cs="Arial"/>
          <w:sz w:val="18"/>
          <w:szCs w:val="18"/>
        </w:rPr>
        <w:t xml:space="preserve"> por un monto total de $1,636,584.21 pesos. Al efecto se anexa una relación y en un cd los documentos escaneados consistentes en el oficio enviado H. Ayuntamiento para el inicio del procedimiento administrativo de ejecución y el oficio del H. Ayuntamiento donde ordena la prescripción de cada contrato. </w:t>
      </w: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07C0" w:rsidRPr="00207603" w:rsidRDefault="00D507C0" w:rsidP="00D507C0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 xml:space="preserve">Asimismo, adjuntó al presente 2 fojas y un cd </w:t>
      </w:r>
      <w:r w:rsidR="00AE1C0E" w:rsidRPr="00207603">
        <w:rPr>
          <w:rFonts w:ascii="Arial" w:hAnsi="Arial" w:cs="Arial"/>
          <w:sz w:val="18"/>
          <w:szCs w:val="18"/>
        </w:rPr>
        <w:t xml:space="preserve">como </w:t>
      </w:r>
      <w:r w:rsidRPr="00207603">
        <w:rPr>
          <w:rFonts w:ascii="Arial" w:hAnsi="Arial" w:cs="Arial"/>
          <w:sz w:val="18"/>
          <w:szCs w:val="18"/>
        </w:rPr>
        <w:t>anexos.</w:t>
      </w:r>
    </w:p>
    <w:p w:rsidR="00D507C0" w:rsidRPr="00207603" w:rsidRDefault="00D507C0" w:rsidP="00F20C8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20C86" w:rsidRPr="00207603" w:rsidRDefault="00F20C86" w:rsidP="00F20C86">
      <w:pPr>
        <w:spacing w:line="288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07603">
        <w:rPr>
          <w:rFonts w:ascii="Arial" w:hAnsi="Arial" w:cs="Arial"/>
          <w:sz w:val="18"/>
          <w:szCs w:val="18"/>
        </w:rPr>
        <w:t>Sin más por el momento, me despido quedando a usted, para cualquier duda al respecto.</w:t>
      </w:r>
    </w:p>
    <w:p w:rsidR="00F20C86" w:rsidRPr="00207603" w:rsidRDefault="00F20C86" w:rsidP="00F20C86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ATENTAMENTE:</w:t>
      </w: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 xml:space="preserve">Puerto Vallarta, Jalisco; 03 de </w:t>
      </w:r>
      <w:r w:rsidR="00421876" w:rsidRPr="00207603">
        <w:rPr>
          <w:rFonts w:ascii="Arial" w:hAnsi="Arial" w:cs="Arial"/>
          <w:b/>
          <w:sz w:val="18"/>
          <w:szCs w:val="18"/>
        </w:rPr>
        <w:t xml:space="preserve">mayo </w:t>
      </w:r>
      <w:r w:rsidRPr="00207603">
        <w:rPr>
          <w:rFonts w:ascii="Arial" w:hAnsi="Arial" w:cs="Arial"/>
          <w:b/>
          <w:sz w:val="18"/>
          <w:szCs w:val="18"/>
        </w:rPr>
        <w:t>del año 2016.</w:t>
      </w:r>
    </w:p>
    <w:p w:rsidR="00F20C86" w:rsidRPr="00207603" w:rsidRDefault="00F20C86" w:rsidP="00F20C86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AE1C0E" w:rsidRPr="00207603" w:rsidRDefault="00AE1C0E" w:rsidP="00F20C86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  <w:lang w:val="es-MX"/>
        </w:rPr>
        <w:t>Lic. César Ignacio Abarca Gutiérrez</w:t>
      </w: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 xml:space="preserve">Director General del Sistema de los Servicios de </w:t>
      </w:r>
    </w:p>
    <w:p w:rsidR="00F20C86" w:rsidRPr="00207603" w:rsidRDefault="00F20C86" w:rsidP="00F20C8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207603">
        <w:rPr>
          <w:rFonts w:ascii="Arial" w:hAnsi="Arial" w:cs="Arial"/>
          <w:b/>
          <w:sz w:val="18"/>
          <w:szCs w:val="18"/>
        </w:rPr>
        <w:t>Agua Potable, Drenaje y Alcantarillado de Puerto Vallarta (SEAPAL Vallarta)</w:t>
      </w:r>
    </w:p>
    <w:p w:rsidR="000E6998" w:rsidRPr="00207603" w:rsidRDefault="00283B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E6998" w:rsidRPr="00207603" w:rsidSect="004D0884">
      <w:headerReference w:type="default" r:id="rId8"/>
      <w:footerReference w:type="default" r:id="rId9"/>
      <w:pgSz w:w="12242" w:h="19442" w:code="190"/>
      <w:pgMar w:top="1134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95" w:rsidRDefault="00283B95" w:rsidP="00AE1C0E">
      <w:r>
        <w:separator/>
      </w:r>
    </w:p>
  </w:endnote>
  <w:endnote w:type="continuationSeparator" w:id="0">
    <w:p w:rsidR="00283B95" w:rsidRDefault="00283B95" w:rsidP="00A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03" w:rsidRDefault="00207603" w:rsidP="00207603">
    <w:pPr>
      <w:pStyle w:val="Piedepgina"/>
      <w:rPr>
        <w:rFonts w:ascii="Avenir LT Std 55 Roman" w:hAnsi="Avenir LT Std 55 Roman"/>
      </w:rPr>
    </w:pPr>
  </w:p>
  <w:p w:rsidR="00AE1C0E" w:rsidRPr="00AE1C0E" w:rsidRDefault="00AE1C0E">
    <w:pPr>
      <w:pStyle w:val="Piedepgina"/>
      <w:jc w:val="right"/>
      <w:rPr>
        <w:rFonts w:ascii="Avenir LT Std 55 Roman" w:hAnsi="Avenir LT Std 55 Roman"/>
      </w:rPr>
    </w:pPr>
    <w:r w:rsidRPr="00AE1C0E">
      <w:rPr>
        <w:rFonts w:ascii="Avenir LT Std 55 Roman" w:hAnsi="Avenir LT Std 55 Roman"/>
      </w:rPr>
      <w:t xml:space="preserve">Hoja </w:t>
    </w:r>
    <w:sdt>
      <w:sdtPr>
        <w:rPr>
          <w:rFonts w:ascii="Avenir LT Std 55 Roman" w:hAnsi="Avenir LT Std 55 Roman"/>
        </w:rPr>
        <w:id w:val="581110215"/>
        <w:docPartObj>
          <w:docPartGallery w:val="Page Numbers (Bottom of Page)"/>
          <w:docPartUnique/>
        </w:docPartObj>
      </w:sdtPr>
      <w:sdtEndPr/>
      <w:sdtContent>
        <w:r w:rsidR="008108CD" w:rsidRPr="00AE1C0E">
          <w:rPr>
            <w:rFonts w:ascii="Avenir LT Std 55 Roman" w:hAnsi="Avenir LT Std 55 Roman"/>
          </w:rPr>
          <w:fldChar w:fldCharType="begin"/>
        </w:r>
        <w:r w:rsidRPr="00AE1C0E">
          <w:rPr>
            <w:rFonts w:ascii="Avenir LT Std 55 Roman" w:hAnsi="Avenir LT Std 55 Roman"/>
          </w:rPr>
          <w:instrText>PAGE   \* MERGEFORMAT</w:instrText>
        </w:r>
        <w:r w:rsidR="008108CD" w:rsidRPr="00AE1C0E">
          <w:rPr>
            <w:rFonts w:ascii="Avenir LT Std 55 Roman" w:hAnsi="Avenir LT Std 55 Roman"/>
          </w:rPr>
          <w:fldChar w:fldCharType="separate"/>
        </w:r>
        <w:r w:rsidR="004D0884" w:rsidRPr="004D0884">
          <w:rPr>
            <w:rFonts w:ascii="Avenir LT Std 55 Roman" w:hAnsi="Avenir LT Std 55 Roman"/>
            <w:noProof/>
            <w:lang w:val="es-ES"/>
          </w:rPr>
          <w:t>2</w:t>
        </w:r>
        <w:r w:rsidR="008108CD" w:rsidRPr="00AE1C0E">
          <w:rPr>
            <w:rFonts w:ascii="Avenir LT Std 55 Roman" w:hAnsi="Avenir LT Std 55 Roman"/>
          </w:rPr>
          <w:fldChar w:fldCharType="end"/>
        </w:r>
        <w:r w:rsidR="00207603">
          <w:rPr>
            <w:rFonts w:ascii="Avenir LT Std 55 Roman" w:hAnsi="Avenir LT Std 55 Roman"/>
          </w:rPr>
          <w:t xml:space="preserve"> de 2</w:t>
        </w:r>
      </w:sdtContent>
    </w:sdt>
  </w:p>
  <w:p w:rsidR="00AD30BD" w:rsidRPr="00AD30BD" w:rsidRDefault="00283B95" w:rsidP="0053265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95" w:rsidRDefault="00283B95" w:rsidP="00AE1C0E">
      <w:r>
        <w:separator/>
      </w:r>
    </w:p>
  </w:footnote>
  <w:footnote w:type="continuationSeparator" w:id="0">
    <w:p w:rsidR="00283B95" w:rsidRDefault="00283B95" w:rsidP="00AE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84" w:rsidRDefault="004D0884" w:rsidP="00532654">
    <w:pPr>
      <w:pStyle w:val="Encabezado"/>
      <w:jc w:val="center"/>
      <w:rPr>
        <w:b/>
        <w:sz w:val="24"/>
        <w:szCs w:val="24"/>
        <w:lang w:val="es-ES"/>
      </w:rPr>
    </w:pPr>
  </w:p>
  <w:p w:rsidR="004D0884" w:rsidRPr="00C530FD" w:rsidRDefault="004D0884" w:rsidP="004D0884">
    <w:pPr>
      <w:jc w:val="right"/>
      <w:rPr>
        <w:rFonts w:ascii="Arial" w:hAnsi="Arial" w:cs="Arial"/>
      </w:rPr>
    </w:pPr>
    <w:r w:rsidRPr="00C530FD">
      <w:rPr>
        <w:rFonts w:ascii="Arial" w:hAnsi="Arial" w:cs="Arial"/>
        <w:b/>
        <w:w w:val="200"/>
        <w:lang w:val="es-MX"/>
      </w:rPr>
      <w:t>Anexo Of. DGP/3085/16</w:t>
    </w:r>
  </w:p>
  <w:p w:rsidR="004D0884" w:rsidRDefault="004D0884" w:rsidP="00532654">
    <w:pPr>
      <w:pStyle w:val="Encabezado"/>
      <w:jc w:val="center"/>
      <w:rPr>
        <w:b/>
        <w:sz w:val="24"/>
        <w:szCs w:val="24"/>
        <w:lang w:val="es-ES"/>
      </w:rPr>
    </w:pPr>
  </w:p>
  <w:p w:rsidR="00532654" w:rsidRPr="00532654" w:rsidRDefault="00532654" w:rsidP="004D0884">
    <w:pPr>
      <w:pStyle w:val="Encabezado"/>
      <w:tabs>
        <w:tab w:val="clear" w:pos="8838"/>
      </w:tabs>
      <w:jc w:val="center"/>
      <w:rPr>
        <w:b/>
        <w:sz w:val="24"/>
        <w:szCs w:val="24"/>
        <w:lang w:val="es-ES"/>
      </w:rPr>
    </w:pPr>
    <w:r w:rsidRPr="00532654">
      <w:rPr>
        <w:b/>
        <w:sz w:val="24"/>
        <w:szCs w:val="24"/>
        <w:lang w:val="es-ES"/>
      </w:rPr>
      <w:t>ANEXO “A”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C86"/>
    <w:rsid w:val="000169CF"/>
    <w:rsid w:val="00207603"/>
    <w:rsid w:val="00283B95"/>
    <w:rsid w:val="00421876"/>
    <w:rsid w:val="004D0884"/>
    <w:rsid w:val="00532654"/>
    <w:rsid w:val="006552C4"/>
    <w:rsid w:val="008108CD"/>
    <w:rsid w:val="008E41B7"/>
    <w:rsid w:val="00A70972"/>
    <w:rsid w:val="00AE1C0E"/>
    <w:rsid w:val="00D507C0"/>
    <w:rsid w:val="00F167E7"/>
    <w:rsid w:val="00F20C86"/>
    <w:rsid w:val="00F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20C86"/>
    <w:pPr>
      <w:ind w:right="51"/>
      <w:jc w:val="center"/>
    </w:pPr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F20C8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20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8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E1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6BA7-CFE6-45B8-9213-330A9C9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Angelina Paniagua</cp:lastModifiedBy>
  <cp:revision>7</cp:revision>
  <cp:lastPrinted>2016-06-02T20:32:00Z</cp:lastPrinted>
  <dcterms:created xsi:type="dcterms:W3CDTF">2016-05-03T20:40:00Z</dcterms:created>
  <dcterms:modified xsi:type="dcterms:W3CDTF">2016-06-02T20:32:00Z</dcterms:modified>
</cp:coreProperties>
</file>