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AF" w:rsidRPr="0002416F" w:rsidRDefault="005278AF" w:rsidP="005278AF">
      <w:pPr>
        <w:pStyle w:val="Encabezado"/>
        <w:jc w:val="right"/>
        <w:rPr>
          <w:noProof/>
          <w:lang w:val="es-MX" w:eastAsia="es-MX"/>
        </w:rPr>
      </w:pPr>
      <w:r>
        <w:rPr>
          <w:rFonts w:ascii="Arial" w:hAnsi="Arial" w:cs="Arial"/>
          <w:b/>
          <w:w w:val="200"/>
          <w:lang w:val="es-MX"/>
        </w:rPr>
        <w:t>A</w:t>
      </w:r>
      <w:r w:rsidRPr="0002416F">
        <w:rPr>
          <w:rFonts w:ascii="Arial" w:hAnsi="Arial" w:cs="Arial"/>
          <w:b/>
          <w:w w:val="200"/>
          <w:lang w:val="es-MX"/>
        </w:rPr>
        <w:t>nexo Of. DGP/</w:t>
      </w:r>
      <w:r>
        <w:rPr>
          <w:rFonts w:ascii="Arial" w:hAnsi="Arial" w:cs="Arial"/>
          <w:b/>
          <w:w w:val="200"/>
          <w:lang w:val="es-MX"/>
        </w:rPr>
        <w:t>3378/18</w:t>
      </w:r>
      <w:r w:rsidRPr="0002416F">
        <w:rPr>
          <w:rFonts w:ascii="Arial" w:hAnsi="Arial" w:cs="Arial"/>
          <w:b/>
          <w:w w:val="200"/>
          <w:lang w:val="es-MX"/>
        </w:rPr>
        <w:t xml:space="preserve">                                                                                                                                                             </w:t>
      </w:r>
    </w:p>
    <w:p w:rsidR="005278AF" w:rsidRDefault="005278AF" w:rsidP="00022C31">
      <w:pPr>
        <w:jc w:val="right"/>
      </w:pPr>
    </w:p>
    <w:p w:rsidR="00BC5685" w:rsidRDefault="00DB7048" w:rsidP="00022C31">
      <w:pPr>
        <w:jc w:val="right"/>
      </w:pPr>
      <w:r>
        <w:rPr>
          <w:rFonts w:ascii="Frutiger-Light" w:hAnsi="Frutiger-Light" w:cs="Frutiger-Light"/>
          <w:noProof/>
          <w:color w:val="333333"/>
          <w:lang w:eastAsia="es-MX"/>
        </w:rPr>
        <w:drawing>
          <wp:anchor distT="0" distB="0" distL="114300" distR="114300" simplePos="0" relativeHeight="251657728" behindDoc="1" locked="0" layoutInCell="1" allowOverlap="1">
            <wp:simplePos x="0" y="0"/>
            <wp:positionH relativeFrom="column">
              <wp:posOffset>75425</wp:posOffset>
            </wp:positionH>
            <wp:positionV relativeFrom="paragraph">
              <wp:posOffset>-397378</wp:posOffset>
            </wp:positionV>
            <wp:extent cx="2226488" cy="1065125"/>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traloriaTransparente"/>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231164" cy="1067362"/>
                    </a:xfrm>
                    <a:prstGeom prst="rect">
                      <a:avLst/>
                    </a:prstGeom>
                    <a:noFill/>
                  </pic:spPr>
                </pic:pic>
              </a:graphicData>
            </a:graphic>
          </wp:anchor>
        </w:drawing>
      </w:r>
      <w:r>
        <w:rPr>
          <w:rFonts w:ascii="Frutiger-Light" w:hAnsi="Frutiger-Light" w:cs="Frutiger-Light"/>
          <w:noProof/>
          <w:color w:val="333333"/>
          <w:lang w:eastAsia="es-MX"/>
        </w:rPr>
        <w:drawing>
          <wp:inline distT="0" distB="0" distL="0" distR="0">
            <wp:extent cx="2783393" cy="582804"/>
            <wp:effectExtent l="0" t="0" r="0" b="0"/>
            <wp:docPr id="1" name="Imagen 2" descr="logo Gobiern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Gobierno de Jalisco"/>
                    <pic:cNvPicPr>
                      <a:picLocks noChangeAspect="1" noChangeArrowheads="1"/>
                    </pic:cNvPicPr>
                  </pic:nvPicPr>
                  <pic:blipFill>
                    <a:blip r:embed="rId6" cstate="print"/>
                    <a:srcRect/>
                    <a:stretch>
                      <a:fillRect/>
                    </a:stretch>
                  </pic:blipFill>
                  <pic:spPr bwMode="auto">
                    <a:xfrm>
                      <a:off x="0" y="0"/>
                      <a:ext cx="2783995" cy="582930"/>
                    </a:xfrm>
                    <a:prstGeom prst="rect">
                      <a:avLst/>
                    </a:prstGeom>
                    <a:noFill/>
                    <a:ln w="9525">
                      <a:noFill/>
                      <a:miter lim="800000"/>
                      <a:headEnd/>
                      <a:tailEnd/>
                    </a:ln>
                  </pic:spPr>
                </pic:pic>
              </a:graphicData>
            </a:graphic>
          </wp:inline>
        </w:drawing>
      </w:r>
    </w:p>
    <w:p w:rsidR="00022C31" w:rsidRPr="009A680C" w:rsidRDefault="00022C31" w:rsidP="00022C31"/>
    <w:p w:rsidR="00343EC1" w:rsidRPr="00343EC1" w:rsidRDefault="00343EC1" w:rsidP="00343EC1">
      <w:pPr>
        <w:tabs>
          <w:tab w:val="left" w:pos="1905"/>
        </w:tabs>
        <w:jc w:val="center"/>
        <w:rPr>
          <w:rFonts w:ascii="Arial Rounded MT Bold" w:hAnsi="Arial Rounded MT Bold" w:cs="Arial"/>
          <w:b/>
          <w:sz w:val="24"/>
          <w:szCs w:val="24"/>
        </w:rPr>
      </w:pPr>
      <w:r w:rsidRPr="00343EC1">
        <w:rPr>
          <w:rFonts w:ascii="Arial Rounded MT Bold" w:hAnsi="Arial Rounded MT Bold" w:cs="Arial"/>
          <w:b/>
          <w:sz w:val="24"/>
          <w:szCs w:val="24"/>
        </w:rPr>
        <w:t>Fideicomiso para el Sistema Estatal de Ahorro para el Retiro de los Servidores Públicos del Estado y sus Municipios (SEDAR)</w:t>
      </w:r>
    </w:p>
    <w:p w:rsidR="004A462E" w:rsidRPr="00343EC1" w:rsidRDefault="004A462E" w:rsidP="00580517">
      <w:pPr>
        <w:jc w:val="center"/>
        <w:rPr>
          <w:rFonts w:ascii="Arial Rounded MT Bold" w:hAnsi="Arial Rounded MT Bold" w:cs="Arial"/>
          <w:sz w:val="24"/>
          <w:szCs w:val="24"/>
        </w:rPr>
      </w:pPr>
      <w:r w:rsidRPr="00552C87">
        <w:rPr>
          <w:rFonts w:ascii="Arial Rounded MT Bold" w:hAnsi="Arial Rounded MT Bold" w:cs="Arial"/>
          <w:sz w:val="24"/>
          <w:szCs w:val="24"/>
        </w:rPr>
        <w:t xml:space="preserve">Auditoria </w:t>
      </w:r>
      <w:r w:rsidR="00985016" w:rsidRPr="00552C87">
        <w:rPr>
          <w:rFonts w:ascii="Arial Rounded MT Bold" w:hAnsi="Arial Rounded MT Bold" w:cs="Arial"/>
          <w:sz w:val="24"/>
          <w:szCs w:val="24"/>
        </w:rPr>
        <w:t>del 01 de Enero al 31 de Diciembre de 2015 y eventos posteriores.</w:t>
      </w:r>
    </w:p>
    <w:p w:rsidR="0044300C" w:rsidRPr="00343EC1" w:rsidRDefault="00580517" w:rsidP="00580517">
      <w:pPr>
        <w:jc w:val="center"/>
        <w:rPr>
          <w:rFonts w:ascii="Arial Rounded MT Bold" w:hAnsi="Arial Rounded MT Bold" w:cs="Arial"/>
          <w:b/>
          <w:sz w:val="24"/>
          <w:szCs w:val="24"/>
        </w:rPr>
      </w:pPr>
      <w:r w:rsidRPr="00343EC1">
        <w:rPr>
          <w:rFonts w:ascii="Arial Rounded MT Bold" w:hAnsi="Arial Rounded MT Bold" w:cs="Arial"/>
          <w:b/>
          <w:sz w:val="24"/>
          <w:szCs w:val="24"/>
        </w:rPr>
        <w:t>ANEXO  “</w:t>
      </w:r>
      <w:r w:rsidR="00343EC1" w:rsidRPr="00343EC1">
        <w:rPr>
          <w:rFonts w:ascii="Arial Rounded MT Bold" w:hAnsi="Arial Rounded MT Bold" w:cs="Arial"/>
          <w:b/>
          <w:sz w:val="24"/>
          <w:szCs w:val="24"/>
        </w:rPr>
        <w:t>E</w:t>
      </w:r>
      <w:r w:rsidRPr="00343EC1">
        <w:rPr>
          <w:rFonts w:ascii="Arial Rounded MT Bold" w:hAnsi="Arial Rounded MT Bold" w:cs="Arial"/>
          <w:b/>
          <w:sz w:val="24"/>
          <w:szCs w:val="24"/>
        </w:rPr>
        <w:t>”</w:t>
      </w:r>
    </w:p>
    <w:p w:rsidR="00BA39A5" w:rsidRPr="00343EC1" w:rsidRDefault="0044300C" w:rsidP="00330421">
      <w:pPr>
        <w:jc w:val="center"/>
        <w:rPr>
          <w:rFonts w:ascii="Arial Rounded MT Bold" w:hAnsi="Arial Rounded MT Bold"/>
          <w:sz w:val="24"/>
          <w:szCs w:val="24"/>
        </w:rPr>
      </w:pPr>
      <w:r w:rsidRPr="00343EC1">
        <w:rPr>
          <w:rFonts w:ascii="Arial Rounded MT Bold" w:hAnsi="Arial Rounded MT Bold"/>
          <w:sz w:val="24"/>
          <w:szCs w:val="24"/>
        </w:rPr>
        <w:t>R</w:t>
      </w:r>
      <w:r w:rsidR="004A462E" w:rsidRPr="00343EC1">
        <w:rPr>
          <w:rFonts w:ascii="Arial Rounded MT Bold" w:hAnsi="Arial Rounded MT Bold"/>
          <w:sz w:val="24"/>
          <w:szCs w:val="24"/>
        </w:rPr>
        <w:t>espuesta de la Observación No.</w:t>
      </w:r>
      <w:r w:rsidR="004275CE" w:rsidRPr="00343EC1">
        <w:rPr>
          <w:rFonts w:ascii="Arial Rounded MT Bold" w:hAnsi="Arial Rounded MT Bold"/>
          <w:sz w:val="24"/>
          <w:szCs w:val="24"/>
        </w:rPr>
        <w:t>2.2</w:t>
      </w:r>
    </w:p>
    <w:p w:rsidR="00BD0BF3" w:rsidRDefault="00BD0BF3" w:rsidP="00BD0BF3">
      <w:pPr>
        <w:jc w:val="both"/>
        <w:rPr>
          <w:sz w:val="28"/>
          <w:szCs w:val="28"/>
        </w:rPr>
      </w:pPr>
    </w:p>
    <w:p w:rsidR="00DA4D5F" w:rsidRDefault="00D31D9B" w:rsidP="00DA4D5F">
      <w:pPr>
        <w:jc w:val="both"/>
        <w:rPr>
          <w:rFonts w:ascii="Arial" w:hAnsi="Arial" w:cs="Arial"/>
          <w:sz w:val="20"/>
          <w:szCs w:val="28"/>
        </w:rPr>
      </w:pPr>
      <w:r>
        <w:rPr>
          <w:rFonts w:ascii="Arial" w:hAnsi="Arial" w:cs="Arial"/>
          <w:sz w:val="20"/>
          <w:szCs w:val="28"/>
        </w:rPr>
        <w:t xml:space="preserve">En la sesión 104 de fecha 09 de Diciembre del 2014, los integrantes del Comité Técnico desahogaron el punto 8 de la orden del día </w:t>
      </w:r>
      <w:r>
        <w:rPr>
          <w:rFonts w:ascii="Arial" w:hAnsi="Arial" w:cs="Arial"/>
          <w:i/>
          <w:sz w:val="20"/>
          <w:szCs w:val="28"/>
        </w:rPr>
        <w:t>“Presentación, Discusión y Aprobación del Presupuesto de Ingresos y Egresos 2015”</w:t>
      </w:r>
      <w:r>
        <w:rPr>
          <w:rFonts w:ascii="Arial" w:hAnsi="Arial" w:cs="Arial"/>
          <w:sz w:val="20"/>
          <w:szCs w:val="28"/>
        </w:rPr>
        <w:t xml:space="preserve"> concluyendo con la aprobación de dicho presupuesto, en el que se incluye dentro de la partida 3851 </w:t>
      </w:r>
      <w:r>
        <w:rPr>
          <w:rFonts w:ascii="Arial" w:hAnsi="Arial" w:cs="Arial"/>
          <w:i/>
          <w:sz w:val="20"/>
          <w:szCs w:val="28"/>
        </w:rPr>
        <w:t>“Gastos de Representación”</w:t>
      </w:r>
      <w:r>
        <w:rPr>
          <w:rFonts w:ascii="Arial" w:hAnsi="Arial" w:cs="Arial"/>
          <w:sz w:val="20"/>
          <w:szCs w:val="28"/>
        </w:rPr>
        <w:t xml:space="preserve"> un monto anual de $28,875.00.</w:t>
      </w:r>
    </w:p>
    <w:p w:rsidR="00D31D9B" w:rsidRDefault="00D31D9B" w:rsidP="00DA4D5F">
      <w:pPr>
        <w:jc w:val="both"/>
        <w:rPr>
          <w:rFonts w:ascii="Arial" w:hAnsi="Arial" w:cs="Arial"/>
          <w:b/>
          <w:i/>
          <w:sz w:val="20"/>
          <w:szCs w:val="28"/>
        </w:rPr>
      </w:pPr>
      <w:r>
        <w:rPr>
          <w:rFonts w:ascii="Arial" w:hAnsi="Arial" w:cs="Arial"/>
          <w:sz w:val="20"/>
          <w:szCs w:val="28"/>
        </w:rPr>
        <w:tab/>
      </w:r>
      <w:r w:rsidR="002F3538">
        <w:rPr>
          <w:rFonts w:ascii="Arial" w:hAnsi="Arial" w:cs="Arial"/>
          <w:b/>
          <w:i/>
          <w:sz w:val="20"/>
          <w:szCs w:val="28"/>
        </w:rPr>
        <w:t>3851 Gastos de representación</w:t>
      </w:r>
    </w:p>
    <w:p w:rsidR="002F3538" w:rsidRPr="008A5474" w:rsidRDefault="002F3538" w:rsidP="002F3538">
      <w:pPr>
        <w:ind w:left="708"/>
        <w:jc w:val="both"/>
        <w:rPr>
          <w:rFonts w:ascii="Arial" w:hAnsi="Arial" w:cs="Arial"/>
          <w:i/>
          <w:sz w:val="20"/>
          <w:szCs w:val="28"/>
          <w:u w:val="single"/>
        </w:rPr>
      </w:pPr>
      <w:r>
        <w:rPr>
          <w:rFonts w:ascii="Arial" w:hAnsi="Arial" w:cs="Arial"/>
          <w:i/>
          <w:sz w:val="20"/>
          <w:szCs w:val="28"/>
        </w:rPr>
        <w:t xml:space="preserve">Asignaciones destinadas a cubrir gastos autorizados a los servidores públicos de mandos medios y superiores </w:t>
      </w:r>
      <w:r w:rsidRPr="008A5474">
        <w:rPr>
          <w:rFonts w:ascii="Arial" w:hAnsi="Arial" w:cs="Arial"/>
          <w:i/>
          <w:sz w:val="20"/>
          <w:szCs w:val="28"/>
          <w:u w:val="single"/>
        </w:rPr>
        <w:t>por concepto de atención a actividades institucionales originadas por el desempeño de las funciones encomendadas para la consecución de los objetivos de las dependencias y entidades a las que estén adscritas.</w:t>
      </w:r>
    </w:p>
    <w:p w:rsidR="002F3538" w:rsidRDefault="002F3538" w:rsidP="00DA4D5F">
      <w:pPr>
        <w:jc w:val="both"/>
        <w:rPr>
          <w:rFonts w:ascii="Arial" w:hAnsi="Arial" w:cs="Arial"/>
          <w:sz w:val="20"/>
          <w:szCs w:val="28"/>
        </w:rPr>
      </w:pPr>
      <w:r>
        <w:rPr>
          <w:rFonts w:ascii="Arial" w:hAnsi="Arial" w:cs="Arial"/>
          <w:sz w:val="20"/>
          <w:szCs w:val="28"/>
        </w:rPr>
        <w:t xml:space="preserve">En el </w:t>
      </w:r>
      <w:r>
        <w:rPr>
          <w:rFonts w:ascii="Arial" w:hAnsi="Arial" w:cs="Arial"/>
          <w:b/>
          <w:sz w:val="20"/>
          <w:szCs w:val="28"/>
        </w:rPr>
        <w:t>Anexo 7</w:t>
      </w:r>
      <w:r>
        <w:rPr>
          <w:rFonts w:ascii="Arial" w:hAnsi="Arial" w:cs="Arial"/>
          <w:sz w:val="20"/>
          <w:szCs w:val="28"/>
        </w:rPr>
        <w:t xml:space="preserve"> se incluye el Acta de la sesión 104 en que se aprobó el Presupuesto de Egresos e Ingresos del año 2015.</w:t>
      </w:r>
    </w:p>
    <w:p w:rsidR="002F3538" w:rsidRDefault="002F3538" w:rsidP="00DA4D5F">
      <w:pPr>
        <w:jc w:val="both"/>
        <w:rPr>
          <w:rFonts w:ascii="Arial" w:hAnsi="Arial" w:cs="Arial"/>
          <w:sz w:val="20"/>
          <w:szCs w:val="28"/>
        </w:rPr>
      </w:pPr>
      <w:r>
        <w:rPr>
          <w:rFonts w:ascii="Arial" w:hAnsi="Arial" w:cs="Arial"/>
          <w:sz w:val="20"/>
          <w:szCs w:val="28"/>
        </w:rPr>
        <w:t>Por otra parte, el contenido integral del Artículo 25 de la Ley de Austeridad y Ahorro del Estado de Jalisco señala:</w:t>
      </w:r>
    </w:p>
    <w:p w:rsidR="002F3538" w:rsidRDefault="002F3538" w:rsidP="002F3538">
      <w:pPr>
        <w:ind w:left="708"/>
        <w:jc w:val="both"/>
        <w:rPr>
          <w:rFonts w:ascii="Arial" w:hAnsi="Arial" w:cs="Arial"/>
          <w:i/>
          <w:sz w:val="20"/>
          <w:szCs w:val="28"/>
          <w:u w:val="single"/>
        </w:rPr>
      </w:pPr>
      <w:r>
        <w:rPr>
          <w:rFonts w:ascii="Arial" w:hAnsi="Arial" w:cs="Arial"/>
          <w:b/>
          <w:i/>
          <w:sz w:val="20"/>
          <w:szCs w:val="28"/>
        </w:rPr>
        <w:t xml:space="preserve">Artículo 25. </w:t>
      </w:r>
      <w:r>
        <w:rPr>
          <w:rFonts w:ascii="Arial" w:hAnsi="Arial" w:cs="Arial"/>
          <w:i/>
          <w:sz w:val="20"/>
          <w:szCs w:val="28"/>
        </w:rPr>
        <w:t xml:space="preserve">Los servidores públicos no podrán otorgar por ningún motivo regalos, obsequios o prebendas con cargo al erario público, </w:t>
      </w:r>
      <w:r>
        <w:rPr>
          <w:rFonts w:ascii="Arial" w:hAnsi="Arial" w:cs="Arial"/>
          <w:i/>
          <w:sz w:val="20"/>
          <w:szCs w:val="28"/>
          <w:u w:val="single"/>
        </w:rPr>
        <w:t>salvo en el caso que por razones de protocolo así corresponda.</w:t>
      </w:r>
    </w:p>
    <w:p w:rsidR="002F3538" w:rsidRDefault="002F3538" w:rsidP="002F3538">
      <w:pPr>
        <w:jc w:val="both"/>
        <w:rPr>
          <w:rFonts w:ascii="Arial" w:hAnsi="Arial" w:cs="Arial"/>
          <w:sz w:val="20"/>
          <w:szCs w:val="28"/>
        </w:rPr>
      </w:pPr>
      <w:r>
        <w:rPr>
          <w:rFonts w:ascii="Arial" w:hAnsi="Arial" w:cs="Arial"/>
          <w:sz w:val="20"/>
          <w:szCs w:val="28"/>
        </w:rPr>
        <w:t>Por ser el evento un acto protocolario, el gasto señalado se ajusta a las razones de protocolo señaladas y se considera como una compensación mínima por el esfuerzo que realizan los integrantes del Comité Técnico, dado que su puesto es de carácter honorífico, en la consideración de que su participación no es remunerada, tal como lo señala la cláusula décima numeral IX del Contrato de Fideicomiso. Por lo que no existe ningún daño patrimonial.</w:t>
      </w:r>
    </w:p>
    <w:p w:rsidR="005C780A" w:rsidRDefault="005C780A" w:rsidP="005C780A">
      <w:pPr>
        <w:ind w:firstLine="708"/>
        <w:jc w:val="both"/>
        <w:rPr>
          <w:rFonts w:ascii="Arial" w:hAnsi="Arial" w:cs="Arial"/>
          <w:i/>
          <w:sz w:val="20"/>
          <w:szCs w:val="28"/>
        </w:rPr>
      </w:pPr>
      <w:r>
        <w:rPr>
          <w:rFonts w:ascii="Arial" w:hAnsi="Arial" w:cs="Arial"/>
          <w:b/>
          <w:i/>
          <w:sz w:val="20"/>
          <w:szCs w:val="28"/>
        </w:rPr>
        <w:t xml:space="preserve">IX.- </w:t>
      </w:r>
      <w:r>
        <w:rPr>
          <w:rFonts w:ascii="Arial" w:hAnsi="Arial" w:cs="Arial"/>
          <w:i/>
          <w:sz w:val="20"/>
          <w:szCs w:val="28"/>
        </w:rPr>
        <w:t>El cargo de miembro del Comité Técnico es honorífico, sin derecho a retribución…</w:t>
      </w:r>
      <w:proofErr w:type="gramStart"/>
      <w:r>
        <w:rPr>
          <w:rFonts w:ascii="Arial" w:hAnsi="Arial" w:cs="Arial"/>
          <w:i/>
          <w:sz w:val="20"/>
          <w:szCs w:val="28"/>
        </w:rPr>
        <w:t>..</w:t>
      </w:r>
      <w:proofErr w:type="gramEnd"/>
    </w:p>
    <w:p w:rsidR="005C780A" w:rsidRPr="005C780A" w:rsidRDefault="005C780A" w:rsidP="005C780A">
      <w:pPr>
        <w:jc w:val="both"/>
        <w:rPr>
          <w:rFonts w:ascii="Arial" w:hAnsi="Arial" w:cs="Arial"/>
          <w:sz w:val="20"/>
          <w:szCs w:val="28"/>
        </w:rPr>
      </w:pPr>
      <w:r>
        <w:rPr>
          <w:rFonts w:ascii="Arial" w:hAnsi="Arial" w:cs="Arial"/>
          <w:sz w:val="20"/>
          <w:szCs w:val="28"/>
        </w:rPr>
        <w:t xml:space="preserve">En el </w:t>
      </w:r>
      <w:r>
        <w:rPr>
          <w:rFonts w:ascii="Arial" w:hAnsi="Arial" w:cs="Arial"/>
          <w:b/>
          <w:sz w:val="20"/>
          <w:szCs w:val="28"/>
        </w:rPr>
        <w:t>Anexo 8</w:t>
      </w:r>
      <w:r>
        <w:rPr>
          <w:rFonts w:ascii="Arial" w:hAnsi="Arial" w:cs="Arial"/>
          <w:sz w:val="20"/>
          <w:szCs w:val="28"/>
        </w:rPr>
        <w:t xml:space="preserve"> se presenta relación del listado de obsequios navideños entregados.</w:t>
      </w:r>
      <w:bookmarkStart w:id="0" w:name="_GoBack"/>
      <w:bookmarkEnd w:id="0"/>
    </w:p>
    <w:sectPr w:rsidR="005C780A" w:rsidRPr="005C780A" w:rsidSect="0088118E">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ight">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2"/>
  </w:compat>
  <w:rsids>
    <w:rsidRoot w:val="00022C31"/>
    <w:rsid w:val="000040C3"/>
    <w:rsid w:val="0000622D"/>
    <w:rsid w:val="00022C31"/>
    <w:rsid w:val="00030F2F"/>
    <w:rsid w:val="00032920"/>
    <w:rsid w:val="00051F46"/>
    <w:rsid w:val="000526D6"/>
    <w:rsid w:val="0005416A"/>
    <w:rsid w:val="000707DE"/>
    <w:rsid w:val="0009245B"/>
    <w:rsid w:val="000947C1"/>
    <w:rsid w:val="0009555A"/>
    <w:rsid w:val="000B6376"/>
    <w:rsid w:val="000C0C27"/>
    <w:rsid w:val="000C14DD"/>
    <w:rsid w:val="000C2A7F"/>
    <w:rsid w:val="000D2566"/>
    <w:rsid w:val="000D67AD"/>
    <w:rsid w:val="000E447D"/>
    <w:rsid w:val="000E66C2"/>
    <w:rsid w:val="000F50CD"/>
    <w:rsid w:val="00113E81"/>
    <w:rsid w:val="0013507F"/>
    <w:rsid w:val="001633B5"/>
    <w:rsid w:val="0016642C"/>
    <w:rsid w:val="00167886"/>
    <w:rsid w:val="00172FE0"/>
    <w:rsid w:val="00176011"/>
    <w:rsid w:val="00180E8E"/>
    <w:rsid w:val="001830EA"/>
    <w:rsid w:val="00185B0A"/>
    <w:rsid w:val="00197CCE"/>
    <w:rsid w:val="001A32DA"/>
    <w:rsid w:val="001A46DD"/>
    <w:rsid w:val="001A6895"/>
    <w:rsid w:val="001B7FFC"/>
    <w:rsid w:val="001C5226"/>
    <w:rsid w:val="001E5839"/>
    <w:rsid w:val="001E5979"/>
    <w:rsid w:val="001F223E"/>
    <w:rsid w:val="001F6442"/>
    <w:rsid w:val="001F690D"/>
    <w:rsid w:val="00211F8F"/>
    <w:rsid w:val="00225006"/>
    <w:rsid w:val="00231B3D"/>
    <w:rsid w:val="002405D3"/>
    <w:rsid w:val="0025410B"/>
    <w:rsid w:val="00264142"/>
    <w:rsid w:val="002745F5"/>
    <w:rsid w:val="00275832"/>
    <w:rsid w:val="00296070"/>
    <w:rsid w:val="002966B6"/>
    <w:rsid w:val="002A39A5"/>
    <w:rsid w:val="002B575E"/>
    <w:rsid w:val="002C357A"/>
    <w:rsid w:val="002C7C70"/>
    <w:rsid w:val="002E0F4D"/>
    <w:rsid w:val="002E4EB4"/>
    <w:rsid w:val="002F3538"/>
    <w:rsid w:val="003103EB"/>
    <w:rsid w:val="00311D49"/>
    <w:rsid w:val="00313213"/>
    <w:rsid w:val="00322A26"/>
    <w:rsid w:val="00330421"/>
    <w:rsid w:val="003312C7"/>
    <w:rsid w:val="00340777"/>
    <w:rsid w:val="00340E45"/>
    <w:rsid w:val="003419B5"/>
    <w:rsid w:val="00343889"/>
    <w:rsid w:val="00343EC1"/>
    <w:rsid w:val="00361AEC"/>
    <w:rsid w:val="00364E04"/>
    <w:rsid w:val="00365F49"/>
    <w:rsid w:val="003664CD"/>
    <w:rsid w:val="0037496F"/>
    <w:rsid w:val="0037706B"/>
    <w:rsid w:val="00381E3C"/>
    <w:rsid w:val="003933E7"/>
    <w:rsid w:val="003A19E1"/>
    <w:rsid w:val="003B1B71"/>
    <w:rsid w:val="003B75A3"/>
    <w:rsid w:val="003C20C3"/>
    <w:rsid w:val="00400196"/>
    <w:rsid w:val="00416F17"/>
    <w:rsid w:val="004275CE"/>
    <w:rsid w:val="0044300C"/>
    <w:rsid w:val="00454461"/>
    <w:rsid w:val="00457396"/>
    <w:rsid w:val="00457A2F"/>
    <w:rsid w:val="0048616B"/>
    <w:rsid w:val="0048648B"/>
    <w:rsid w:val="004A1970"/>
    <w:rsid w:val="004A462E"/>
    <w:rsid w:val="004B6220"/>
    <w:rsid w:val="004B652D"/>
    <w:rsid w:val="004E6E06"/>
    <w:rsid w:val="004F490F"/>
    <w:rsid w:val="004F4A77"/>
    <w:rsid w:val="004F4DD8"/>
    <w:rsid w:val="004F524B"/>
    <w:rsid w:val="004F7E05"/>
    <w:rsid w:val="005124CA"/>
    <w:rsid w:val="00515447"/>
    <w:rsid w:val="00523B6B"/>
    <w:rsid w:val="005260D9"/>
    <w:rsid w:val="005278AF"/>
    <w:rsid w:val="0053208F"/>
    <w:rsid w:val="0053220C"/>
    <w:rsid w:val="00552C87"/>
    <w:rsid w:val="00552F40"/>
    <w:rsid w:val="005537AF"/>
    <w:rsid w:val="00561F6E"/>
    <w:rsid w:val="0056493E"/>
    <w:rsid w:val="00577428"/>
    <w:rsid w:val="00580517"/>
    <w:rsid w:val="00581CDF"/>
    <w:rsid w:val="0058371C"/>
    <w:rsid w:val="00586D7B"/>
    <w:rsid w:val="005C780A"/>
    <w:rsid w:val="005D342D"/>
    <w:rsid w:val="005D6E2F"/>
    <w:rsid w:val="005F3405"/>
    <w:rsid w:val="00610E40"/>
    <w:rsid w:val="00611D8A"/>
    <w:rsid w:val="006140B8"/>
    <w:rsid w:val="00617944"/>
    <w:rsid w:val="00656DB4"/>
    <w:rsid w:val="006636A5"/>
    <w:rsid w:val="00673970"/>
    <w:rsid w:val="00683D77"/>
    <w:rsid w:val="0069026C"/>
    <w:rsid w:val="006A2B15"/>
    <w:rsid w:val="006A6972"/>
    <w:rsid w:val="006B030D"/>
    <w:rsid w:val="006B2E73"/>
    <w:rsid w:val="006D4EBE"/>
    <w:rsid w:val="006D5363"/>
    <w:rsid w:val="006E10E8"/>
    <w:rsid w:val="006E490E"/>
    <w:rsid w:val="006E5B59"/>
    <w:rsid w:val="006E78CE"/>
    <w:rsid w:val="006F1EBA"/>
    <w:rsid w:val="006F308D"/>
    <w:rsid w:val="006F78BE"/>
    <w:rsid w:val="007121ED"/>
    <w:rsid w:val="007167EA"/>
    <w:rsid w:val="00720DB2"/>
    <w:rsid w:val="007235E0"/>
    <w:rsid w:val="0073005C"/>
    <w:rsid w:val="007575E9"/>
    <w:rsid w:val="00761ABA"/>
    <w:rsid w:val="0079095B"/>
    <w:rsid w:val="007967DD"/>
    <w:rsid w:val="007B032F"/>
    <w:rsid w:val="007C1934"/>
    <w:rsid w:val="007F61E8"/>
    <w:rsid w:val="00803290"/>
    <w:rsid w:val="00805CE7"/>
    <w:rsid w:val="00806D8D"/>
    <w:rsid w:val="00824AB9"/>
    <w:rsid w:val="00851692"/>
    <w:rsid w:val="00860704"/>
    <w:rsid w:val="008623D4"/>
    <w:rsid w:val="008648FC"/>
    <w:rsid w:val="00872846"/>
    <w:rsid w:val="0088118E"/>
    <w:rsid w:val="008A22C3"/>
    <w:rsid w:val="008A5474"/>
    <w:rsid w:val="008B5528"/>
    <w:rsid w:val="008D7C48"/>
    <w:rsid w:val="008E362E"/>
    <w:rsid w:val="008F5DC5"/>
    <w:rsid w:val="00900CFF"/>
    <w:rsid w:val="00925F85"/>
    <w:rsid w:val="00963BEE"/>
    <w:rsid w:val="00982259"/>
    <w:rsid w:val="00984856"/>
    <w:rsid w:val="00985016"/>
    <w:rsid w:val="0099489F"/>
    <w:rsid w:val="00994EBD"/>
    <w:rsid w:val="009A2201"/>
    <w:rsid w:val="009A680C"/>
    <w:rsid w:val="009B7156"/>
    <w:rsid w:val="009C0D97"/>
    <w:rsid w:val="009D0779"/>
    <w:rsid w:val="009D1C14"/>
    <w:rsid w:val="009D6A1B"/>
    <w:rsid w:val="009E302B"/>
    <w:rsid w:val="009E4710"/>
    <w:rsid w:val="009F26EC"/>
    <w:rsid w:val="00A05AB8"/>
    <w:rsid w:val="00A074B2"/>
    <w:rsid w:val="00A11FE5"/>
    <w:rsid w:val="00A21F36"/>
    <w:rsid w:val="00A25A7D"/>
    <w:rsid w:val="00A3762A"/>
    <w:rsid w:val="00A40DB3"/>
    <w:rsid w:val="00A51A32"/>
    <w:rsid w:val="00A5749F"/>
    <w:rsid w:val="00A61B80"/>
    <w:rsid w:val="00A63B4B"/>
    <w:rsid w:val="00A64C37"/>
    <w:rsid w:val="00A66CE1"/>
    <w:rsid w:val="00A71327"/>
    <w:rsid w:val="00A8716C"/>
    <w:rsid w:val="00A93828"/>
    <w:rsid w:val="00AA0355"/>
    <w:rsid w:val="00AB5396"/>
    <w:rsid w:val="00AC1D2D"/>
    <w:rsid w:val="00AF3444"/>
    <w:rsid w:val="00B0089A"/>
    <w:rsid w:val="00B02C53"/>
    <w:rsid w:val="00B110CE"/>
    <w:rsid w:val="00B14D2E"/>
    <w:rsid w:val="00B213A3"/>
    <w:rsid w:val="00B46F14"/>
    <w:rsid w:val="00B54003"/>
    <w:rsid w:val="00B549FC"/>
    <w:rsid w:val="00B54E87"/>
    <w:rsid w:val="00B57491"/>
    <w:rsid w:val="00B77C90"/>
    <w:rsid w:val="00B95750"/>
    <w:rsid w:val="00BA39A5"/>
    <w:rsid w:val="00BA5E48"/>
    <w:rsid w:val="00BB0CEB"/>
    <w:rsid w:val="00BB1FEB"/>
    <w:rsid w:val="00BC5685"/>
    <w:rsid w:val="00BD0BF3"/>
    <w:rsid w:val="00C22B4A"/>
    <w:rsid w:val="00C277D8"/>
    <w:rsid w:val="00C43214"/>
    <w:rsid w:val="00C4735F"/>
    <w:rsid w:val="00C526A5"/>
    <w:rsid w:val="00C60531"/>
    <w:rsid w:val="00C6594B"/>
    <w:rsid w:val="00C71528"/>
    <w:rsid w:val="00C7219F"/>
    <w:rsid w:val="00C765E2"/>
    <w:rsid w:val="00C808C6"/>
    <w:rsid w:val="00CA5DBB"/>
    <w:rsid w:val="00CB15E4"/>
    <w:rsid w:val="00CC7E0F"/>
    <w:rsid w:val="00CD1615"/>
    <w:rsid w:val="00CF482F"/>
    <w:rsid w:val="00D0304B"/>
    <w:rsid w:val="00D12420"/>
    <w:rsid w:val="00D13D28"/>
    <w:rsid w:val="00D277FC"/>
    <w:rsid w:val="00D31D9B"/>
    <w:rsid w:val="00D429B8"/>
    <w:rsid w:val="00D45D64"/>
    <w:rsid w:val="00D46EA9"/>
    <w:rsid w:val="00D50EAF"/>
    <w:rsid w:val="00D55EEB"/>
    <w:rsid w:val="00D9440B"/>
    <w:rsid w:val="00DA22FC"/>
    <w:rsid w:val="00DA2EEF"/>
    <w:rsid w:val="00DA4D5F"/>
    <w:rsid w:val="00DA6F66"/>
    <w:rsid w:val="00DB3A75"/>
    <w:rsid w:val="00DB7048"/>
    <w:rsid w:val="00DC0017"/>
    <w:rsid w:val="00DC0D56"/>
    <w:rsid w:val="00DC21D5"/>
    <w:rsid w:val="00DD6D27"/>
    <w:rsid w:val="00DE248D"/>
    <w:rsid w:val="00DE2C4A"/>
    <w:rsid w:val="00DF67D1"/>
    <w:rsid w:val="00E16A9F"/>
    <w:rsid w:val="00E22758"/>
    <w:rsid w:val="00E32036"/>
    <w:rsid w:val="00E60590"/>
    <w:rsid w:val="00E656CF"/>
    <w:rsid w:val="00E67B60"/>
    <w:rsid w:val="00E86DB0"/>
    <w:rsid w:val="00E91E58"/>
    <w:rsid w:val="00E946F2"/>
    <w:rsid w:val="00EB0318"/>
    <w:rsid w:val="00EB0CF5"/>
    <w:rsid w:val="00EC5283"/>
    <w:rsid w:val="00ED02AB"/>
    <w:rsid w:val="00ED0749"/>
    <w:rsid w:val="00ED1828"/>
    <w:rsid w:val="00EE065C"/>
    <w:rsid w:val="00EF3FB4"/>
    <w:rsid w:val="00F1192E"/>
    <w:rsid w:val="00F15AA7"/>
    <w:rsid w:val="00F17496"/>
    <w:rsid w:val="00F25567"/>
    <w:rsid w:val="00F30CFA"/>
    <w:rsid w:val="00F37F60"/>
    <w:rsid w:val="00F44349"/>
    <w:rsid w:val="00F57810"/>
    <w:rsid w:val="00F650EB"/>
    <w:rsid w:val="00F70FC1"/>
    <w:rsid w:val="00F84B64"/>
    <w:rsid w:val="00F94FD1"/>
    <w:rsid w:val="00F97A88"/>
    <w:rsid w:val="00FB4225"/>
    <w:rsid w:val="00FC28B0"/>
    <w:rsid w:val="00FF6E4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8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2C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2C31"/>
    <w:rPr>
      <w:rFonts w:ascii="Tahoma" w:hAnsi="Tahoma" w:cs="Tahoma"/>
      <w:sz w:val="16"/>
      <w:szCs w:val="16"/>
    </w:rPr>
  </w:style>
  <w:style w:type="paragraph" w:styleId="Prrafodelista">
    <w:name w:val="List Paragraph"/>
    <w:basedOn w:val="Normal"/>
    <w:uiPriority w:val="34"/>
    <w:qFormat/>
    <w:rsid w:val="006A2B15"/>
    <w:pPr>
      <w:ind w:left="720"/>
      <w:contextualSpacing/>
    </w:pPr>
  </w:style>
  <w:style w:type="table" w:styleId="Tablaconcuadrcula">
    <w:name w:val="Table Grid"/>
    <w:basedOn w:val="Tablanormal"/>
    <w:uiPriority w:val="59"/>
    <w:rsid w:val="00B14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5278AF"/>
    <w:pPr>
      <w:tabs>
        <w:tab w:val="center" w:pos="4419"/>
        <w:tab w:val="right" w:pos="8838"/>
      </w:tabs>
      <w:spacing w:after="0" w:line="240" w:lineRule="auto"/>
    </w:pPr>
    <w:rPr>
      <w:rFonts w:ascii="Times New Roman" w:eastAsia="Times New Roman" w:hAnsi="Times New Roman"/>
      <w:sz w:val="20"/>
      <w:szCs w:val="20"/>
      <w:lang w:val="es-ES" w:eastAsia="es-ES"/>
    </w:rPr>
  </w:style>
  <w:style w:type="character" w:customStyle="1" w:styleId="EncabezadoCar">
    <w:name w:val="Encabezado Car"/>
    <w:basedOn w:val="Fuentedeprrafopredeter"/>
    <w:link w:val="Encabezado"/>
    <w:rsid w:val="005278AF"/>
    <w:rPr>
      <w:rFonts w:ascii="Times New Roman" w:eastAsia="Times New Roman" w:hAnsi="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337</Words>
  <Characters>1857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Javelazquezm</dc:creator>
  <cp:lastModifiedBy>Angelina Paniagua</cp:lastModifiedBy>
  <cp:revision>10</cp:revision>
  <cp:lastPrinted>2018-08-13T15:49:00Z</cp:lastPrinted>
  <dcterms:created xsi:type="dcterms:W3CDTF">2017-07-24T14:20:00Z</dcterms:created>
  <dcterms:modified xsi:type="dcterms:W3CDTF">2018-08-13T15:50:00Z</dcterms:modified>
</cp:coreProperties>
</file>