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E" w:rsidRPr="00D13256" w:rsidRDefault="00D13256" w:rsidP="00D13256">
      <w:pPr>
        <w:jc w:val="center"/>
        <w:rPr>
          <w:rFonts w:ascii="Arial" w:hAnsi="Arial" w:cs="Arial"/>
          <w:b/>
          <w:sz w:val="20"/>
          <w:szCs w:val="20"/>
        </w:rPr>
      </w:pPr>
      <w:r w:rsidRPr="00D13256">
        <w:rPr>
          <w:rFonts w:ascii="Arial" w:hAnsi="Arial" w:cs="Arial"/>
          <w:b/>
          <w:sz w:val="20"/>
          <w:szCs w:val="20"/>
        </w:rPr>
        <w:t>RESPUESTAS A LAS OBSERVACIONES DETERMINADAS AL SISTEMA ESTATAL DE INFORMACION JALISCO    (SEIJAL)</w:t>
      </w:r>
    </w:p>
    <w:p w:rsidR="00D13256" w:rsidRPr="00D13256" w:rsidRDefault="00D13256" w:rsidP="00D13256">
      <w:pPr>
        <w:rPr>
          <w:rFonts w:ascii="Arial" w:hAnsi="Arial" w:cs="Arial"/>
          <w:b/>
          <w:sz w:val="20"/>
          <w:szCs w:val="20"/>
        </w:rPr>
      </w:pPr>
    </w:p>
    <w:p w:rsidR="00D13256" w:rsidRPr="00D13256" w:rsidRDefault="00D13256" w:rsidP="00D13256">
      <w:pPr>
        <w:rPr>
          <w:rFonts w:ascii="Arial" w:hAnsi="Arial" w:cs="Arial"/>
          <w:b/>
          <w:sz w:val="20"/>
          <w:szCs w:val="20"/>
        </w:rPr>
      </w:pPr>
    </w:p>
    <w:p w:rsidR="00D13256" w:rsidRPr="00D13256" w:rsidRDefault="00D13256" w:rsidP="00D13256">
      <w:pPr>
        <w:rPr>
          <w:rFonts w:ascii="Arial" w:hAnsi="Arial" w:cs="Arial"/>
          <w:b/>
          <w:sz w:val="20"/>
          <w:szCs w:val="20"/>
        </w:rPr>
      </w:pPr>
      <w:r w:rsidRPr="00D13256">
        <w:rPr>
          <w:rFonts w:ascii="Arial" w:hAnsi="Arial" w:cs="Arial"/>
          <w:b/>
          <w:sz w:val="20"/>
          <w:szCs w:val="20"/>
        </w:rPr>
        <w:t>ANEXO 1</w:t>
      </w:r>
    </w:p>
    <w:p w:rsidR="00D13256" w:rsidRPr="00D13256" w:rsidRDefault="00D13256" w:rsidP="00D13256">
      <w:pPr>
        <w:rPr>
          <w:rFonts w:ascii="Arial" w:hAnsi="Arial" w:cs="Arial"/>
          <w:b/>
          <w:sz w:val="20"/>
          <w:szCs w:val="20"/>
        </w:rPr>
      </w:pPr>
      <w:r w:rsidRPr="00D13256">
        <w:rPr>
          <w:rFonts w:ascii="Arial" w:hAnsi="Arial" w:cs="Arial"/>
          <w:b/>
          <w:sz w:val="20"/>
          <w:szCs w:val="20"/>
        </w:rPr>
        <w:t>Respuesta a Observación 1.1.</w:t>
      </w:r>
    </w:p>
    <w:p w:rsidR="00D13256" w:rsidRPr="00D13256" w:rsidRDefault="00D13256" w:rsidP="00D13256">
      <w:pPr>
        <w:pStyle w:val="Prrafodelista"/>
        <w:spacing w:after="120" w:line="240" w:lineRule="auto"/>
        <w:ind w:left="1080"/>
        <w:jc w:val="both"/>
        <w:rPr>
          <w:rFonts w:ascii="Arial" w:hAnsi="Arial" w:cs="Arial"/>
          <w:b/>
          <w:color w:val="222222"/>
          <w:sz w:val="20"/>
          <w:szCs w:val="20"/>
        </w:rPr>
      </w:pPr>
      <w:r w:rsidRPr="00D13256">
        <w:rPr>
          <w:rFonts w:ascii="Arial" w:hAnsi="Arial" w:cs="Arial"/>
          <w:b/>
          <w:color w:val="222222"/>
          <w:sz w:val="20"/>
          <w:szCs w:val="20"/>
        </w:rPr>
        <w:t xml:space="preserve">Solventación de la Observación 1.1: </w:t>
      </w:r>
    </w:p>
    <w:p w:rsidR="00D13256" w:rsidRDefault="00D13256" w:rsidP="00D13256">
      <w:pPr>
        <w:pStyle w:val="Prrafodelista"/>
        <w:numPr>
          <w:ilvl w:val="0"/>
          <w:numId w:val="1"/>
        </w:numPr>
        <w:spacing w:after="120" w:line="240" w:lineRule="auto"/>
        <w:jc w:val="both"/>
        <w:rPr>
          <w:rFonts w:ascii="Arial" w:hAnsi="Arial" w:cs="Arial"/>
          <w:color w:val="222222"/>
          <w:sz w:val="21"/>
          <w:szCs w:val="21"/>
        </w:rPr>
      </w:pPr>
      <w:r w:rsidRPr="00016AFD">
        <w:rPr>
          <w:rFonts w:ascii="Arial" w:hAnsi="Arial" w:cs="Arial"/>
          <w:color w:val="222222"/>
          <w:sz w:val="21"/>
          <w:szCs w:val="21"/>
        </w:rPr>
        <w:t xml:space="preserve">Se entrega </w:t>
      </w:r>
      <w:r w:rsidRPr="00016AFD">
        <w:rPr>
          <w:rFonts w:ascii="Arial" w:hAnsi="Arial" w:cs="Arial"/>
          <w:color w:val="222222"/>
          <w:sz w:val="21"/>
          <w:szCs w:val="21"/>
          <w:u w:val="single"/>
        </w:rPr>
        <w:t>copia de</w:t>
      </w:r>
      <w:r>
        <w:rPr>
          <w:rFonts w:ascii="Arial" w:hAnsi="Arial" w:cs="Arial"/>
          <w:color w:val="222222"/>
          <w:sz w:val="21"/>
          <w:szCs w:val="21"/>
          <w:u w:val="single"/>
        </w:rPr>
        <w:t>l ejercicio presupuestal 2011 autorizado por el Consejo Directivo,</w:t>
      </w:r>
      <w:r>
        <w:rPr>
          <w:rFonts w:ascii="Arial" w:hAnsi="Arial" w:cs="Arial"/>
          <w:color w:val="222222"/>
          <w:sz w:val="21"/>
          <w:szCs w:val="21"/>
        </w:rPr>
        <w:t xml:space="preserve"> así  como del </w:t>
      </w:r>
      <w:r w:rsidRPr="00016AFD">
        <w:rPr>
          <w:rFonts w:ascii="Arial" w:hAnsi="Arial" w:cs="Arial"/>
          <w:color w:val="222222"/>
          <w:sz w:val="21"/>
          <w:szCs w:val="21"/>
          <w:u w:val="single"/>
        </w:rPr>
        <w:t>oficio No. SEI/061/2014</w:t>
      </w:r>
      <w:r>
        <w:rPr>
          <w:rFonts w:ascii="Arial" w:hAnsi="Arial" w:cs="Arial"/>
          <w:color w:val="222222"/>
          <w:sz w:val="21"/>
          <w:szCs w:val="21"/>
        </w:rPr>
        <w:t xml:space="preserve"> mediante el cual se hizo entrega del presupuesto autorizado 2011 a personal designado por la Contraloría del Estado para llevar a cabo la auditoria, mismo que contiene firma de recibido con fecha 18 de marzo de 2014 a las 13:50 horas. El ejercicio presupuestal 2011 fue aprobado por unanimidad, como consta en el punto 5 del </w:t>
      </w:r>
      <w:r w:rsidRPr="00D94AA3">
        <w:rPr>
          <w:rFonts w:ascii="Arial" w:hAnsi="Arial" w:cs="Arial"/>
          <w:color w:val="222222"/>
          <w:sz w:val="21"/>
          <w:szCs w:val="21"/>
          <w:u w:val="single"/>
        </w:rPr>
        <w:t>Acta de la Cuadragésima Quinta Sesión Ordinaria del Consejo Directivo</w:t>
      </w:r>
      <w:r>
        <w:rPr>
          <w:rFonts w:ascii="Arial" w:hAnsi="Arial" w:cs="Arial"/>
          <w:color w:val="222222"/>
          <w:sz w:val="21"/>
          <w:szCs w:val="21"/>
        </w:rPr>
        <w:t xml:space="preserve"> (se anexa copia), celebrada el día 3 de febrero de 2012. La evidencia se puede encontrar en el punto 5 del orden de día de dicha acta, y el detalle del ejercicio del recurso tal como fue aprobado, en el Anexo 4, el cual forma parte integral de la misma, y cuenta con la firma autógrafa de todos los Consejeros asistentes.</w:t>
      </w:r>
    </w:p>
    <w:p w:rsidR="00D13256" w:rsidRDefault="00D13256" w:rsidP="00D13256">
      <w:pPr>
        <w:pStyle w:val="Prrafodelista"/>
        <w:numPr>
          <w:ilvl w:val="0"/>
          <w:numId w:val="1"/>
        </w:numPr>
        <w:spacing w:after="120" w:line="240" w:lineRule="auto"/>
        <w:jc w:val="both"/>
        <w:rPr>
          <w:rFonts w:ascii="Arial" w:hAnsi="Arial" w:cs="Arial"/>
          <w:color w:val="222222"/>
          <w:sz w:val="21"/>
          <w:szCs w:val="21"/>
        </w:rPr>
      </w:pPr>
      <w:r>
        <w:rPr>
          <w:rFonts w:ascii="Arial" w:hAnsi="Arial" w:cs="Arial"/>
          <w:color w:val="222222"/>
          <w:sz w:val="21"/>
          <w:szCs w:val="21"/>
        </w:rPr>
        <w:t xml:space="preserve">Adicionalmente se entrega </w:t>
      </w:r>
      <w:r>
        <w:rPr>
          <w:rFonts w:ascii="Arial" w:hAnsi="Arial" w:cs="Arial"/>
          <w:color w:val="222222"/>
          <w:sz w:val="21"/>
          <w:szCs w:val="21"/>
          <w:u w:val="single"/>
        </w:rPr>
        <w:t>impresión de correo electrónico de fecha 4 de abril de 2014</w:t>
      </w:r>
      <w:r>
        <w:rPr>
          <w:rFonts w:ascii="Arial" w:hAnsi="Arial" w:cs="Arial"/>
          <w:color w:val="222222"/>
          <w:sz w:val="21"/>
          <w:szCs w:val="21"/>
        </w:rPr>
        <w:t xml:space="preserve"> mediante el cual se hizo llegar a la Lic. Ángeles Magaña el archivo del Ejercicio Presupuestal 2011, atendiendo a su solicitud de contar con el documento en electrónico a fin de facilitar la revisión de la información correspondiente </w:t>
      </w:r>
      <w:proofErr w:type="gramStart"/>
      <w:r>
        <w:rPr>
          <w:rFonts w:ascii="Arial" w:hAnsi="Arial" w:cs="Arial"/>
          <w:color w:val="222222"/>
          <w:sz w:val="21"/>
          <w:szCs w:val="21"/>
        </w:rPr>
        <w:t>a</w:t>
      </w:r>
      <w:proofErr w:type="gramEnd"/>
      <w:r>
        <w:rPr>
          <w:rFonts w:ascii="Arial" w:hAnsi="Arial" w:cs="Arial"/>
          <w:color w:val="222222"/>
          <w:sz w:val="21"/>
          <w:szCs w:val="21"/>
        </w:rPr>
        <w:t xml:space="preserve"> dicho ejercicio.</w:t>
      </w:r>
    </w:p>
    <w:p w:rsidR="00D13256" w:rsidRDefault="00D13256" w:rsidP="00D13256">
      <w:pPr>
        <w:pStyle w:val="Prrafodelista"/>
        <w:spacing w:after="120" w:line="240" w:lineRule="auto"/>
        <w:ind w:left="1440"/>
        <w:jc w:val="both"/>
        <w:rPr>
          <w:rFonts w:ascii="Arial" w:hAnsi="Arial" w:cs="Arial"/>
          <w:color w:val="222222"/>
          <w:sz w:val="21"/>
          <w:szCs w:val="21"/>
        </w:rPr>
      </w:pP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b/>
          <w:color w:val="222222"/>
          <w:sz w:val="21"/>
          <w:szCs w:val="21"/>
        </w:rPr>
        <w:t xml:space="preserve">Conclusión de la Observación 1.1: </w:t>
      </w:r>
    </w:p>
    <w:p w:rsidR="00D13256" w:rsidRPr="007C7784"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color w:val="222222"/>
          <w:sz w:val="21"/>
          <w:szCs w:val="21"/>
        </w:rPr>
        <w:t xml:space="preserve">De lo anterior, esta Dirección Administrativa concluye que se ofrecen evidencias suficientes para presentar ante la Contraloría a fin de que pueda quedar solventada la observación 1.1, en virtud de que </w:t>
      </w:r>
      <w:r w:rsidRPr="007C7784">
        <w:rPr>
          <w:rFonts w:ascii="Arial" w:hAnsi="Arial" w:cs="Arial"/>
          <w:b/>
          <w:color w:val="222222"/>
          <w:sz w:val="21"/>
          <w:szCs w:val="21"/>
        </w:rPr>
        <w:t>sí se proporcionó el cierre del ejercicio presupuestal 2011 autorizado por el Consejo Directivo.</w:t>
      </w: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r>
        <w:rPr>
          <w:b/>
        </w:rPr>
        <w:t>ANEXO 2</w:t>
      </w:r>
    </w:p>
    <w:p w:rsidR="00D13256" w:rsidRPr="00D13256" w:rsidRDefault="00D13256" w:rsidP="00D13256">
      <w:pPr>
        <w:rPr>
          <w:b/>
        </w:rPr>
      </w:pPr>
      <w:r>
        <w:rPr>
          <w:b/>
        </w:rPr>
        <w:t>Respuesta a la Observación 1.2.</w:t>
      </w:r>
    </w:p>
    <w:p w:rsidR="00D13256" w:rsidRDefault="00D13256" w:rsidP="00D13256">
      <w:pPr>
        <w:pStyle w:val="Prrafodelista"/>
        <w:numPr>
          <w:ilvl w:val="0"/>
          <w:numId w:val="2"/>
        </w:numPr>
        <w:spacing w:after="120" w:line="240" w:lineRule="auto"/>
        <w:jc w:val="both"/>
        <w:rPr>
          <w:rFonts w:ascii="Arial" w:hAnsi="Arial" w:cs="Arial"/>
          <w:color w:val="222222"/>
          <w:sz w:val="21"/>
          <w:szCs w:val="21"/>
        </w:rPr>
      </w:pPr>
      <w:r w:rsidRPr="00016AFD">
        <w:rPr>
          <w:rFonts w:ascii="Arial" w:hAnsi="Arial" w:cs="Arial"/>
          <w:color w:val="222222"/>
          <w:sz w:val="21"/>
          <w:szCs w:val="21"/>
        </w:rPr>
        <w:t xml:space="preserve">Se entrega </w:t>
      </w:r>
      <w:r>
        <w:rPr>
          <w:rFonts w:ascii="Arial" w:hAnsi="Arial" w:cs="Arial"/>
          <w:color w:val="222222"/>
          <w:sz w:val="21"/>
          <w:szCs w:val="21"/>
          <w:u w:val="single"/>
        </w:rPr>
        <w:t>“Tabla de Aclaraciones de la Observación 1.2”</w:t>
      </w:r>
      <w:r>
        <w:rPr>
          <w:rFonts w:ascii="Arial" w:hAnsi="Arial" w:cs="Arial"/>
          <w:color w:val="222222"/>
          <w:sz w:val="21"/>
          <w:szCs w:val="21"/>
        </w:rPr>
        <w:t>, mediante la cual se señalan una serie de inconsistencias en los datos reportados en el Anexo 1. A continuación se hace una descripción general de dichas inconsistencias:</w:t>
      </w:r>
    </w:p>
    <w:p w:rsidR="00D13256" w:rsidRDefault="00D13256" w:rsidP="00D13256">
      <w:pPr>
        <w:pStyle w:val="Prrafodelista"/>
        <w:spacing w:after="120" w:line="240" w:lineRule="auto"/>
        <w:ind w:left="1440"/>
        <w:jc w:val="both"/>
        <w:rPr>
          <w:rFonts w:ascii="Arial" w:hAnsi="Arial" w:cs="Arial"/>
          <w:color w:val="222222"/>
          <w:sz w:val="21"/>
          <w:szCs w:val="21"/>
        </w:rPr>
      </w:pPr>
    </w:p>
    <w:p w:rsidR="00D13256" w:rsidRPr="00B02EE4" w:rsidRDefault="00D13256" w:rsidP="00D13256">
      <w:pPr>
        <w:pStyle w:val="Prrafodelista"/>
        <w:numPr>
          <w:ilvl w:val="0"/>
          <w:numId w:val="3"/>
        </w:numPr>
        <w:spacing w:after="120" w:line="240" w:lineRule="auto"/>
        <w:jc w:val="both"/>
        <w:rPr>
          <w:rFonts w:ascii="Arial" w:hAnsi="Arial" w:cs="Arial"/>
          <w:b/>
          <w:color w:val="222222"/>
          <w:sz w:val="21"/>
          <w:szCs w:val="21"/>
        </w:rPr>
      </w:pPr>
      <w:r>
        <w:rPr>
          <w:rFonts w:ascii="Arial" w:hAnsi="Arial" w:cs="Arial"/>
          <w:color w:val="222222"/>
          <w:sz w:val="21"/>
          <w:szCs w:val="21"/>
        </w:rPr>
        <w:t>En el consecutivo 1 del Anexo 1, se especifica que hay sobre ejercicio en la partida 1301 por $5,159.</w:t>
      </w:r>
      <w:r w:rsidR="00B02EE4">
        <w:rPr>
          <w:rFonts w:ascii="Arial" w:hAnsi="Arial" w:cs="Arial"/>
          <w:color w:val="222222"/>
          <w:sz w:val="21"/>
          <w:szCs w:val="21"/>
        </w:rPr>
        <w:t>22</w:t>
      </w:r>
      <w:r>
        <w:rPr>
          <w:rFonts w:ascii="Arial" w:hAnsi="Arial" w:cs="Arial"/>
          <w:color w:val="222222"/>
          <w:sz w:val="21"/>
          <w:szCs w:val="21"/>
        </w:rPr>
        <w:t xml:space="preserve"> Sin embargo, en el documento </w:t>
      </w:r>
      <w:r w:rsidRPr="00910FFE">
        <w:rPr>
          <w:rFonts w:ascii="Arial" w:hAnsi="Arial" w:cs="Arial"/>
          <w:color w:val="222222"/>
          <w:sz w:val="21"/>
          <w:szCs w:val="21"/>
          <w:u w:val="single"/>
        </w:rPr>
        <w:t>“Ejercicio Presupuestal 2011”</w:t>
      </w:r>
      <w:r>
        <w:rPr>
          <w:rFonts w:ascii="Arial" w:hAnsi="Arial" w:cs="Arial"/>
          <w:color w:val="222222"/>
          <w:sz w:val="21"/>
          <w:szCs w:val="21"/>
        </w:rPr>
        <w:t xml:space="preserve"> (mismo que se anexa al presente), se puede constatar que precisamente esa cantidad ($5,159.22) se señala en la columna de “Aplicación de Impacto al Salario”, es decir, el Consejo Directivo aprobó una transferencia por ese monto de la partida de Impacto al Salario (1701) a la partida de Prima Quinquenal (1301). </w:t>
      </w:r>
      <w:r w:rsidRPr="00B02EE4">
        <w:rPr>
          <w:rFonts w:ascii="Arial" w:hAnsi="Arial" w:cs="Arial"/>
          <w:b/>
          <w:color w:val="222222"/>
          <w:sz w:val="21"/>
          <w:szCs w:val="21"/>
        </w:rPr>
        <w:t>Por lo anterior, no existe sobre ejercicio en la partida señalada.</w:t>
      </w:r>
    </w:p>
    <w:p w:rsidR="00D13256" w:rsidRDefault="00D13256" w:rsidP="00D13256">
      <w:pPr>
        <w:pStyle w:val="Prrafodelista"/>
        <w:spacing w:after="120" w:line="240" w:lineRule="auto"/>
        <w:ind w:left="1800"/>
        <w:jc w:val="both"/>
        <w:rPr>
          <w:rFonts w:ascii="Arial" w:hAnsi="Arial" w:cs="Arial"/>
          <w:color w:val="222222"/>
          <w:sz w:val="21"/>
          <w:szCs w:val="21"/>
        </w:rPr>
      </w:pPr>
    </w:p>
    <w:p w:rsidR="00D13256" w:rsidRDefault="00D13256" w:rsidP="00D13256">
      <w:pPr>
        <w:pStyle w:val="Prrafodelista"/>
        <w:numPr>
          <w:ilvl w:val="0"/>
          <w:numId w:val="3"/>
        </w:numPr>
        <w:spacing w:after="120" w:line="240" w:lineRule="auto"/>
        <w:jc w:val="both"/>
        <w:rPr>
          <w:rFonts w:ascii="Arial" w:hAnsi="Arial" w:cs="Arial"/>
          <w:color w:val="222222"/>
          <w:sz w:val="21"/>
          <w:szCs w:val="21"/>
        </w:rPr>
      </w:pPr>
      <w:r>
        <w:rPr>
          <w:rFonts w:ascii="Arial" w:hAnsi="Arial" w:cs="Arial"/>
          <w:color w:val="222222"/>
          <w:sz w:val="21"/>
          <w:szCs w:val="21"/>
        </w:rPr>
        <w:t xml:space="preserve">En los consecutivos 2 al 14 del Anexo 1, el dato que se coloca en la columna titulada “Presupuesto Ejercido 2011”, equivale exactamente al doble del monto Autorizado, lo cual es incorrecto. El dato correcto del monto ejercido se puede consultar en el documento </w:t>
      </w:r>
      <w:r w:rsidRPr="00910FFE">
        <w:rPr>
          <w:rFonts w:ascii="Arial" w:hAnsi="Arial" w:cs="Arial"/>
          <w:color w:val="222222"/>
          <w:sz w:val="21"/>
          <w:szCs w:val="21"/>
          <w:u w:val="single"/>
        </w:rPr>
        <w:t>“Ejercicio Presupuestal 2011”</w:t>
      </w:r>
      <w:r>
        <w:rPr>
          <w:rFonts w:ascii="Arial" w:hAnsi="Arial" w:cs="Arial"/>
          <w:color w:val="222222"/>
          <w:sz w:val="21"/>
          <w:szCs w:val="21"/>
        </w:rPr>
        <w:t xml:space="preserve"> (mismo que se anexa al presente), en la última columna. Esta información una vez corregida, confirma </w:t>
      </w:r>
      <w:r w:rsidRPr="00B02EE4">
        <w:rPr>
          <w:rFonts w:ascii="Arial" w:hAnsi="Arial" w:cs="Arial"/>
          <w:b/>
          <w:color w:val="222222"/>
          <w:sz w:val="21"/>
          <w:szCs w:val="21"/>
        </w:rPr>
        <w:t>que no existe sobre ejercicio</w:t>
      </w:r>
      <w:r>
        <w:rPr>
          <w:rFonts w:ascii="Arial" w:hAnsi="Arial" w:cs="Arial"/>
          <w:color w:val="222222"/>
          <w:sz w:val="21"/>
          <w:szCs w:val="21"/>
        </w:rPr>
        <w:t xml:space="preserve"> en las partidas referidas, con excepción de la 2201, cuya propuesta de solventación se plantea en el siguiente inciso b) de este apartado.</w:t>
      </w:r>
    </w:p>
    <w:p w:rsidR="00D13256" w:rsidRPr="00FB2C41" w:rsidRDefault="00D13256" w:rsidP="00D13256">
      <w:pPr>
        <w:pStyle w:val="Prrafodelista"/>
        <w:spacing w:after="120" w:line="240" w:lineRule="auto"/>
        <w:rPr>
          <w:rFonts w:ascii="Arial" w:hAnsi="Arial" w:cs="Arial"/>
          <w:color w:val="222222"/>
          <w:sz w:val="21"/>
          <w:szCs w:val="21"/>
        </w:rPr>
      </w:pPr>
    </w:p>
    <w:p w:rsidR="00D13256" w:rsidRDefault="00D13256" w:rsidP="00D13256">
      <w:pPr>
        <w:pStyle w:val="Prrafodelista"/>
        <w:numPr>
          <w:ilvl w:val="0"/>
          <w:numId w:val="3"/>
        </w:numPr>
        <w:spacing w:after="120" w:line="240" w:lineRule="auto"/>
        <w:jc w:val="both"/>
        <w:rPr>
          <w:rFonts w:ascii="Arial" w:hAnsi="Arial" w:cs="Arial"/>
          <w:color w:val="222222"/>
          <w:sz w:val="21"/>
          <w:szCs w:val="21"/>
        </w:rPr>
      </w:pPr>
      <w:r>
        <w:rPr>
          <w:rFonts w:ascii="Arial" w:hAnsi="Arial" w:cs="Arial"/>
          <w:color w:val="222222"/>
          <w:sz w:val="21"/>
          <w:szCs w:val="21"/>
        </w:rPr>
        <w:t xml:space="preserve">En los consecutivos 9 al 17 del Anexo 1, los montos reportados en la columna “Total presupuesto autorizado 2011” son incorrectos, ya que no corresponden al presupuesto autorizado y las modificaciones realizadas al mismo con autorización del Consejo Directivo. En la </w:t>
      </w:r>
      <w:r>
        <w:rPr>
          <w:rFonts w:ascii="Arial" w:hAnsi="Arial" w:cs="Arial"/>
          <w:color w:val="222222"/>
          <w:sz w:val="21"/>
          <w:szCs w:val="21"/>
          <w:u w:val="single"/>
        </w:rPr>
        <w:t>“Tabla de Aclaraciones de la Observación 1.2”</w:t>
      </w:r>
      <w:r>
        <w:rPr>
          <w:rFonts w:ascii="Arial" w:hAnsi="Arial" w:cs="Arial"/>
          <w:color w:val="222222"/>
          <w:sz w:val="21"/>
          <w:szCs w:val="21"/>
        </w:rPr>
        <w:t xml:space="preserve">, se hacen las precisiones correspondientes para aclarar los montos correctos, conforme al documento </w:t>
      </w:r>
      <w:r w:rsidRPr="00910FFE">
        <w:rPr>
          <w:rFonts w:ascii="Arial" w:hAnsi="Arial" w:cs="Arial"/>
          <w:color w:val="222222"/>
          <w:sz w:val="21"/>
          <w:szCs w:val="21"/>
          <w:u w:val="single"/>
        </w:rPr>
        <w:t>“Ejercicio Presupuestal 2011”</w:t>
      </w:r>
      <w:r>
        <w:rPr>
          <w:rFonts w:ascii="Arial" w:hAnsi="Arial" w:cs="Arial"/>
          <w:color w:val="222222"/>
          <w:sz w:val="21"/>
          <w:szCs w:val="21"/>
        </w:rPr>
        <w:t xml:space="preserve"> firmado por el Consejo Directivo, en el cual se precisan los montos autorizados.</w:t>
      </w:r>
    </w:p>
    <w:p w:rsidR="00D13256" w:rsidRDefault="00D13256" w:rsidP="00D13256">
      <w:pPr>
        <w:pStyle w:val="Prrafodelista"/>
        <w:spacing w:after="120" w:line="240" w:lineRule="auto"/>
        <w:ind w:left="1800"/>
        <w:jc w:val="both"/>
        <w:rPr>
          <w:rFonts w:ascii="Arial" w:hAnsi="Arial" w:cs="Arial"/>
          <w:color w:val="222222"/>
          <w:sz w:val="21"/>
          <w:szCs w:val="21"/>
        </w:rPr>
      </w:pPr>
    </w:p>
    <w:p w:rsidR="00D13256" w:rsidRPr="00B02EE4" w:rsidRDefault="00D13256" w:rsidP="00D13256">
      <w:pPr>
        <w:pStyle w:val="Prrafodelista"/>
        <w:numPr>
          <w:ilvl w:val="0"/>
          <w:numId w:val="2"/>
        </w:numPr>
        <w:spacing w:after="120" w:line="240" w:lineRule="auto"/>
        <w:ind w:left="1418"/>
        <w:jc w:val="both"/>
        <w:rPr>
          <w:rFonts w:ascii="Arial" w:hAnsi="Arial" w:cs="Arial"/>
          <w:b/>
          <w:color w:val="222222"/>
          <w:sz w:val="21"/>
          <w:szCs w:val="21"/>
        </w:rPr>
      </w:pPr>
      <w:r>
        <w:rPr>
          <w:rFonts w:ascii="Arial" w:hAnsi="Arial" w:cs="Arial"/>
          <w:color w:val="222222"/>
          <w:sz w:val="21"/>
          <w:szCs w:val="21"/>
        </w:rPr>
        <w:t xml:space="preserve">En el documento </w:t>
      </w:r>
      <w:r w:rsidRPr="00910FFE">
        <w:rPr>
          <w:rFonts w:ascii="Arial" w:hAnsi="Arial" w:cs="Arial"/>
          <w:color w:val="222222"/>
          <w:sz w:val="21"/>
          <w:szCs w:val="21"/>
          <w:u w:val="single"/>
        </w:rPr>
        <w:t>“Ejercicio Presupuestal 2011”</w:t>
      </w:r>
      <w:r>
        <w:rPr>
          <w:rFonts w:ascii="Arial" w:hAnsi="Arial" w:cs="Arial"/>
          <w:color w:val="222222"/>
          <w:sz w:val="21"/>
          <w:szCs w:val="21"/>
        </w:rPr>
        <w:t xml:space="preserve"> (mismo que se anexa al presente), se puede observar </w:t>
      </w:r>
      <w:bookmarkStart w:id="0" w:name="_GoBack"/>
      <w:bookmarkEnd w:id="0"/>
      <w:r>
        <w:rPr>
          <w:rFonts w:ascii="Arial" w:hAnsi="Arial" w:cs="Arial"/>
          <w:color w:val="222222"/>
          <w:sz w:val="21"/>
          <w:szCs w:val="21"/>
        </w:rPr>
        <w:t xml:space="preserve">que en efecto la partida 2201 se ejerció por un total de $35,976.00, </w:t>
      </w:r>
      <w:r w:rsidRPr="00B02EE4">
        <w:rPr>
          <w:rFonts w:ascii="Arial" w:hAnsi="Arial" w:cs="Arial"/>
          <w:b/>
          <w:color w:val="222222"/>
          <w:sz w:val="21"/>
          <w:szCs w:val="21"/>
        </w:rPr>
        <w:t xml:space="preserve">sin embargo el propio documento “Ejercicio Presupuestal 2011” se encuentra firmado por todos los miembros del Consejo Directivo, quienes lo aprobaron por unanimidad en la </w:t>
      </w:r>
      <w:r w:rsidRPr="00B02EE4">
        <w:rPr>
          <w:rFonts w:ascii="Arial" w:hAnsi="Arial" w:cs="Arial"/>
          <w:b/>
          <w:color w:val="222222"/>
          <w:sz w:val="21"/>
          <w:szCs w:val="21"/>
          <w:u w:val="single"/>
        </w:rPr>
        <w:t>Cuadragésima Quinta Sesión Ordinaria del Consejo Directivo</w:t>
      </w:r>
      <w:r w:rsidRPr="00B02EE4">
        <w:rPr>
          <w:rFonts w:ascii="Arial" w:hAnsi="Arial" w:cs="Arial"/>
          <w:b/>
          <w:color w:val="222222"/>
          <w:sz w:val="21"/>
          <w:szCs w:val="21"/>
        </w:rPr>
        <w:t xml:space="preserve"> (se anexa copia del Acta), celebrada el día 3 de febrero de 2012, lo que implica en consecuencia que como Máximo Órgano de Gobierno, el Consejo Directivo autorizó el monto erogado en dicha partida para el ejercicio 2011.</w:t>
      </w:r>
    </w:p>
    <w:p w:rsidR="00D13256" w:rsidRPr="00D601BA" w:rsidRDefault="00D13256" w:rsidP="00D13256">
      <w:pPr>
        <w:pStyle w:val="Prrafodelista"/>
        <w:spacing w:after="120" w:line="240" w:lineRule="auto"/>
        <w:ind w:left="1418"/>
        <w:jc w:val="both"/>
        <w:rPr>
          <w:rFonts w:ascii="Arial" w:hAnsi="Arial" w:cs="Arial"/>
          <w:color w:val="222222"/>
          <w:sz w:val="21"/>
          <w:szCs w:val="21"/>
        </w:rPr>
      </w:pP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b/>
          <w:color w:val="222222"/>
          <w:sz w:val="21"/>
          <w:szCs w:val="21"/>
        </w:rPr>
        <w:t>Conclusión de la Observación 1.2:</w:t>
      </w: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color w:val="222222"/>
          <w:sz w:val="21"/>
          <w:szCs w:val="21"/>
        </w:rPr>
        <w:t xml:space="preserve">De lo anterior, esta Dirección Administrativa concluye que se ofrecen evidencias suficientes para presentar ante la Contraloría a fin de que pueda quedar solventada la observación 1.2, en virtud de que </w:t>
      </w:r>
      <w:r w:rsidRPr="007C7784">
        <w:rPr>
          <w:rFonts w:ascii="Arial" w:hAnsi="Arial" w:cs="Arial"/>
          <w:b/>
          <w:color w:val="222222"/>
          <w:sz w:val="21"/>
          <w:szCs w:val="21"/>
        </w:rPr>
        <w:t>no existe sobre ejercicio en ninguna de las 17 partidas señaladas en el Anexo 1.</w:t>
      </w:r>
    </w:p>
    <w:p w:rsidR="00D13256" w:rsidRDefault="00D13256" w:rsidP="00D13256">
      <w:pPr>
        <w:pStyle w:val="Prrafodelista"/>
        <w:spacing w:after="120" w:line="240" w:lineRule="auto"/>
        <w:ind w:left="1080"/>
        <w:jc w:val="both"/>
        <w:rPr>
          <w:rFonts w:ascii="Arial" w:hAnsi="Arial" w:cs="Arial"/>
          <w:b/>
          <w:color w:val="222222"/>
          <w:sz w:val="21"/>
          <w:szCs w:val="21"/>
        </w:rPr>
      </w:pPr>
    </w:p>
    <w:p w:rsidR="00D13256" w:rsidRDefault="00D13256" w:rsidP="00D13256">
      <w:pPr>
        <w:pStyle w:val="Prrafodelista"/>
        <w:spacing w:after="120" w:line="240" w:lineRule="auto"/>
        <w:ind w:left="1080"/>
        <w:jc w:val="both"/>
        <w:rPr>
          <w:rFonts w:ascii="Arial" w:hAnsi="Arial" w:cs="Arial"/>
          <w:b/>
          <w:color w:val="222222"/>
          <w:sz w:val="21"/>
          <w:szCs w:val="21"/>
        </w:rPr>
      </w:pP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b/>
          <w:color w:val="222222"/>
          <w:sz w:val="21"/>
          <w:szCs w:val="21"/>
        </w:rPr>
        <w:t>ANEXO 3</w:t>
      </w: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b/>
          <w:color w:val="222222"/>
          <w:sz w:val="21"/>
          <w:szCs w:val="21"/>
        </w:rPr>
        <w:t xml:space="preserve">Respuesta a la Observación 1.3. </w:t>
      </w:r>
    </w:p>
    <w:p w:rsidR="00D13256" w:rsidRPr="00FB2C41" w:rsidRDefault="00D13256" w:rsidP="00D13256">
      <w:pPr>
        <w:pStyle w:val="Prrafodelista"/>
        <w:numPr>
          <w:ilvl w:val="0"/>
          <w:numId w:val="4"/>
        </w:numPr>
        <w:spacing w:after="120" w:line="240" w:lineRule="auto"/>
        <w:ind w:left="993"/>
        <w:jc w:val="both"/>
        <w:rPr>
          <w:rFonts w:ascii="Arial" w:hAnsi="Arial" w:cs="Arial"/>
          <w:color w:val="222222"/>
          <w:sz w:val="21"/>
          <w:szCs w:val="21"/>
        </w:rPr>
      </w:pPr>
      <w:r w:rsidRPr="00FB2C41">
        <w:rPr>
          <w:rFonts w:ascii="Arial" w:hAnsi="Arial" w:cs="Arial"/>
          <w:color w:val="222222"/>
          <w:sz w:val="21"/>
          <w:szCs w:val="21"/>
        </w:rPr>
        <w:t xml:space="preserve">Se entrega </w:t>
      </w:r>
      <w:r w:rsidRPr="00FB2C41">
        <w:rPr>
          <w:rFonts w:ascii="Arial" w:hAnsi="Arial" w:cs="Arial"/>
          <w:color w:val="222222"/>
          <w:sz w:val="21"/>
          <w:szCs w:val="21"/>
          <w:u w:val="single"/>
        </w:rPr>
        <w:t>“Tabla de Ac</w:t>
      </w:r>
      <w:r>
        <w:rPr>
          <w:rFonts w:ascii="Arial" w:hAnsi="Arial" w:cs="Arial"/>
          <w:color w:val="222222"/>
          <w:sz w:val="21"/>
          <w:szCs w:val="21"/>
          <w:u w:val="single"/>
        </w:rPr>
        <w:t>laraciones de la Observación 1.3</w:t>
      </w:r>
      <w:r w:rsidRPr="00FB2C41">
        <w:rPr>
          <w:rFonts w:ascii="Arial" w:hAnsi="Arial" w:cs="Arial"/>
          <w:color w:val="222222"/>
          <w:sz w:val="21"/>
          <w:szCs w:val="21"/>
          <w:u w:val="single"/>
        </w:rPr>
        <w:t>”</w:t>
      </w:r>
      <w:r w:rsidRPr="00FB2C41">
        <w:rPr>
          <w:rFonts w:ascii="Arial" w:hAnsi="Arial" w:cs="Arial"/>
          <w:color w:val="222222"/>
          <w:sz w:val="21"/>
          <w:szCs w:val="21"/>
        </w:rPr>
        <w:t xml:space="preserve">, mediante la cual se señalan una serie de inconsistencias en los datos reportados en el Anexo </w:t>
      </w:r>
      <w:r>
        <w:rPr>
          <w:rFonts w:ascii="Arial" w:hAnsi="Arial" w:cs="Arial"/>
          <w:color w:val="222222"/>
          <w:sz w:val="21"/>
          <w:szCs w:val="21"/>
        </w:rPr>
        <w:t>2</w:t>
      </w:r>
      <w:r w:rsidRPr="00FB2C41">
        <w:rPr>
          <w:rFonts w:ascii="Arial" w:hAnsi="Arial" w:cs="Arial"/>
          <w:color w:val="222222"/>
          <w:sz w:val="21"/>
          <w:szCs w:val="21"/>
        </w:rPr>
        <w:t>. A continuación se hace una descripción general de dichas inconsistencias:</w:t>
      </w:r>
    </w:p>
    <w:p w:rsidR="00D13256" w:rsidRDefault="00D13256" w:rsidP="00D13256">
      <w:pPr>
        <w:pStyle w:val="Prrafodelista"/>
        <w:spacing w:after="120" w:line="240" w:lineRule="auto"/>
        <w:ind w:left="1440"/>
        <w:jc w:val="both"/>
        <w:rPr>
          <w:rFonts w:ascii="Arial" w:hAnsi="Arial" w:cs="Arial"/>
          <w:color w:val="222222"/>
          <w:sz w:val="21"/>
          <w:szCs w:val="21"/>
        </w:rPr>
      </w:pPr>
    </w:p>
    <w:p w:rsidR="00D13256" w:rsidRPr="00BD3035" w:rsidRDefault="00D13256" w:rsidP="00D13256">
      <w:pPr>
        <w:pStyle w:val="Prrafodelista"/>
        <w:numPr>
          <w:ilvl w:val="0"/>
          <w:numId w:val="5"/>
        </w:numPr>
        <w:spacing w:after="120" w:line="240" w:lineRule="auto"/>
        <w:jc w:val="both"/>
        <w:rPr>
          <w:rFonts w:ascii="Arial" w:hAnsi="Arial" w:cs="Arial"/>
          <w:i/>
          <w:color w:val="222222"/>
          <w:sz w:val="21"/>
          <w:szCs w:val="21"/>
        </w:rPr>
      </w:pPr>
      <w:r>
        <w:rPr>
          <w:rFonts w:ascii="Arial" w:hAnsi="Arial" w:cs="Arial"/>
          <w:color w:val="222222"/>
          <w:sz w:val="21"/>
          <w:szCs w:val="21"/>
        </w:rPr>
        <w:t>En los consecutivos 4 al 7 y 11 al 12 del Anexo 2, en la columna “Presupuesto ejercido 2012”</w:t>
      </w:r>
      <w:r w:rsidRPr="00BD3035">
        <w:rPr>
          <w:rFonts w:ascii="Arial" w:hAnsi="Arial" w:cs="Arial"/>
          <w:color w:val="222222"/>
          <w:sz w:val="21"/>
          <w:szCs w:val="21"/>
        </w:rPr>
        <w:t xml:space="preserve"> se </w:t>
      </w:r>
      <w:r>
        <w:rPr>
          <w:rFonts w:ascii="Arial" w:hAnsi="Arial" w:cs="Arial"/>
          <w:color w:val="222222"/>
          <w:sz w:val="21"/>
          <w:szCs w:val="21"/>
        </w:rPr>
        <w:t xml:space="preserve">reporta el dato del momento contable del “Ejercido”. </w:t>
      </w:r>
    </w:p>
    <w:p w:rsidR="00D13256" w:rsidRPr="00BD3035" w:rsidRDefault="00D13256" w:rsidP="00D13256">
      <w:pPr>
        <w:pStyle w:val="Prrafodelista"/>
        <w:numPr>
          <w:ilvl w:val="0"/>
          <w:numId w:val="5"/>
        </w:numPr>
        <w:spacing w:after="120" w:line="240" w:lineRule="auto"/>
        <w:jc w:val="both"/>
        <w:rPr>
          <w:rFonts w:ascii="Arial" w:hAnsi="Arial" w:cs="Arial"/>
          <w:i/>
          <w:color w:val="222222"/>
          <w:sz w:val="21"/>
          <w:szCs w:val="21"/>
        </w:rPr>
      </w:pPr>
      <w:r>
        <w:rPr>
          <w:rFonts w:ascii="Arial" w:hAnsi="Arial" w:cs="Arial"/>
          <w:color w:val="222222"/>
          <w:sz w:val="21"/>
          <w:szCs w:val="21"/>
        </w:rPr>
        <w:t>En los consecutivos 1, 9 y 10 del Anexo 2, pero ahora en la columna “Gasto Reg. Contabilidad”</w:t>
      </w:r>
      <w:r w:rsidRPr="00BD3035">
        <w:rPr>
          <w:rFonts w:ascii="Arial" w:hAnsi="Arial" w:cs="Arial"/>
          <w:color w:val="222222"/>
          <w:sz w:val="21"/>
          <w:szCs w:val="21"/>
        </w:rPr>
        <w:t xml:space="preserve"> se </w:t>
      </w:r>
      <w:r>
        <w:rPr>
          <w:rFonts w:ascii="Arial" w:hAnsi="Arial" w:cs="Arial"/>
          <w:color w:val="222222"/>
          <w:sz w:val="21"/>
          <w:szCs w:val="21"/>
        </w:rPr>
        <w:t>reporta el dato también del momento contable del “Ejercido”.</w:t>
      </w:r>
    </w:p>
    <w:p w:rsidR="00D13256" w:rsidRPr="00BD3035" w:rsidRDefault="00D13256" w:rsidP="00D13256">
      <w:pPr>
        <w:pStyle w:val="Prrafodelista"/>
        <w:numPr>
          <w:ilvl w:val="0"/>
          <w:numId w:val="5"/>
        </w:numPr>
        <w:spacing w:after="120" w:line="240" w:lineRule="auto"/>
        <w:jc w:val="both"/>
        <w:rPr>
          <w:rFonts w:ascii="Arial" w:hAnsi="Arial" w:cs="Arial"/>
          <w:i/>
          <w:color w:val="222222"/>
          <w:sz w:val="21"/>
          <w:szCs w:val="21"/>
        </w:rPr>
      </w:pPr>
      <w:r>
        <w:rPr>
          <w:rFonts w:ascii="Arial" w:hAnsi="Arial" w:cs="Arial"/>
          <w:color w:val="222222"/>
          <w:sz w:val="21"/>
          <w:szCs w:val="21"/>
        </w:rPr>
        <w:t>En los consecutivos 3 al 6 del Anexo 2, en la columna “Gasto Reg. Contabilidad”</w:t>
      </w:r>
      <w:r w:rsidRPr="00BD3035">
        <w:rPr>
          <w:rFonts w:ascii="Arial" w:hAnsi="Arial" w:cs="Arial"/>
          <w:color w:val="222222"/>
          <w:sz w:val="21"/>
          <w:szCs w:val="21"/>
        </w:rPr>
        <w:t xml:space="preserve"> se </w:t>
      </w:r>
      <w:r>
        <w:rPr>
          <w:rFonts w:ascii="Arial" w:hAnsi="Arial" w:cs="Arial"/>
          <w:color w:val="222222"/>
          <w:sz w:val="21"/>
          <w:szCs w:val="21"/>
        </w:rPr>
        <w:t xml:space="preserve">reporta el dato del momento contable “Por ejercer” (también nombrado “Disponible para Comprometer”). </w:t>
      </w:r>
    </w:p>
    <w:p w:rsidR="00D13256" w:rsidRPr="00BD3035" w:rsidRDefault="00D13256" w:rsidP="00D13256">
      <w:pPr>
        <w:pStyle w:val="Prrafodelista"/>
        <w:numPr>
          <w:ilvl w:val="0"/>
          <w:numId w:val="5"/>
        </w:numPr>
        <w:spacing w:after="120" w:line="240" w:lineRule="auto"/>
        <w:jc w:val="both"/>
        <w:rPr>
          <w:rFonts w:ascii="Arial" w:hAnsi="Arial" w:cs="Arial"/>
          <w:i/>
          <w:color w:val="222222"/>
          <w:sz w:val="21"/>
          <w:szCs w:val="21"/>
        </w:rPr>
      </w:pPr>
      <w:r>
        <w:rPr>
          <w:rFonts w:ascii="Arial" w:hAnsi="Arial" w:cs="Arial"/>
          <w:color w:val="222222"/>
          <w:sz w:val="21"/>
          <w:szCs w:val="21"/>
        </w:rPr>
        <w:t xml:space="preserve">En el resto de las celdas, se reportan datos de los cuales no fue posible identificar su fuente. </w:t>
      </w:r>
    </w:p>
    <w:p w:rsidR="00D13256" w:rsidRDefault="00D13256" w:rsidP="00D13256">
      <w:pPr>
        <w:pStyle w:val="Prrafodelista"/>
        <w:spacing w:after="120" w:line="240" w:lineRule="auto"/>
        <w:ind w:left="1440"/>
        <w:jc w:val="both"/>
        <w:rPr>
          <w:rFonts w:ascii="Arial" w:hAnsi="Arial" w:cs="Arial"/>
          <w:color w:val="222222"/>
          <w:sz w:val="21"/>
          <w:szCs w:val="21"/>
        </w:rPr>
      </w:pPr>
    </w:p>
    <w:p w:rsidR="00D13256" w:rsidRDefault="00D13256" w:rsidP="00D13256">
      <w:pPr>
        <w:pStyle w:val="Prrafodelista"/>
        <w:spacing w:after="120" w:line="240" w:lineRule="auto"/>
        <w:ind w:left="1440"/>
        <w:jc w:val="both"/>
        <w:rPr>
          <w:rFonts w:ascii="Arial" w:hAnsi="Arial" w:cs="Arial"/>
          <w:color w:val="222222"/>
          <w:sz w:val="21"/>
          <w:szCs w:val="21"/>
        </w:rPr>
      </w:pPr>
      <w:r>
        <w:rPr>
          <w:rFonts w:ascii="Arial" w:hAnsi="Arial" w:cs="Arial"/>
          <w:color w:val="222222"/>
          <w:sz w:val="21"/>
          <w:szCs w:val="21"/>
        </w:rPr>
        <w:t xml:space="preserve">Se entrega un reporte </w:t>
      </w:r>
      <w:r>
        <w:rPr>
          <w:rFonts w:ascii="Arial" w:hAnsi="Arial" w:cs="Arial"/>
          <w:color w:val="222222"/>
          <w:sz w:val="21"/>
          <w:szCs w:val="21"/>
          <w:u w:val="single"/>
        </w:rPr>
        <w:t>“Presupuesto Ejercido al 31/</w:t>
      </w:r>
      <w:proofErr w:type="spellStart"/>
      <w:r>
        <w:rPr>
          <w:rFonts w:ascii="Arial" w:hAnsi="Arial" w:cs="Arial"/>
          <w:color w:val="222222"/>
          <w:sz w:val="21"/>
          <w:szCs w:val="21"/>
          <w:u w:val="single"/>
        </w:rPr>
        <w:t>dic</w:t>
      </w:r>
      <w:proofErr w:type="spellEnd"/>
      <w:r>
        <w:rPr>
          <w:rFonts w:ascii="Arial" w:hAnsi="Arial" w:cs="Arial"/>
          <w:color w:val="222222"/>
          <w:sz w:val="21"/>
          <w:szCs w:val="21"/>
          <w:u w:val="single"/>
        </w:rPr>
        <w:t>/2012”</w:t>
      </w:r>
      <w:r>
        <w:rPr>
          <w:rFonts w:ascii="Arial" w:hAnsi="Arial" w:cs="Arial"/>
          <w:color w:val="222222"/>
          <w:sz w:val="21"/>
          <w:szCs w:val="21"/>
        </w:rPr>
        <w:t xml:space="preserve"> mediante el cual se puede constatar lo señalado en los puntos anteriores, referente a la información de los momentos contables.</w:t>
      </w:r>
    </w:p>
    <w:p w:rsidR="00D13256" w:rsidRDefault="00D13256" w:rsidP="00D13256">
      <w:pPr>
        <w:pStyle w:val="Prrafodelista"/>
        <w:spacing w:after="120" w:line="240" w:lineRule="auto"/>
        <w:ind w:left="1440"/>
        <w:jc w:val="both"/>
        <w:rPr>
          <w:rFonts w:ascii="Arial" w:hAnsi="Arial" w:cs="Arial"/>
          <w:i/>
          <w:color w:val="222222"/>
          <w:sz w:val="21"/>
          <w:szCs w:val="21"/>
        </w:rPr>
      </w:pPr>
    </w:p>
    <w:p w:rsidR="00D13256" w:rsidRDefault="00D13256" w:rsidP="00D13256">
      <w:pPr>
        <w:pStyle w:val="Prrafodelista"/>
        <w:spacing w:after="120" w:line="240" w:lineRule="auto"/>
        <w:ind w:left="1080"/>
        <w:jc w:val="both"/>
        <w:rPr>
          <w:rFonts w:ascii="Arial" w:hAnsi="Arial" w:cs="Arial"/>
          <w:b/>
          <w:color w:val="222222"/>
          <w:sz w:val="21"/>
          <w:szCs w:val="21"/>
        </w:rPr>
      </w:pPr>
      <w:r>
        <w:rPr>
          <w:rFonts w:ascii="Arial" w:hAnsi="Arial" w:cs="Arial"/>
          <w:b/>
          <w:color w:val="222222"/>
          <w:sz w:val="21"/>
          <w:szCs w:val="21"/>
        </w:rPr>
        <w:t>Conclusión de la Observación 1.3:</w:t>
      </w:r>
    </w:p>
    <w:p w:rsidR="00D13256" w:rsidRPr="007C7784" w:rsidRDefault="00D13256" w:rsidP="00D13256">
      <w:pPr>
        <w:pStyle w:val="Prrafodelista"/>
        <w:spacing w:after="120" w:line="240" w:lineRule="auto"/>
        <w:ind w:left="360"/>
        <w:jc w:val="both"/>
        <w:rPr>
          <w:rFonts w:ascii="Arial" w:hAnsi="Arial" w:cs="Arial"/>
          <w:b/>
          <w:color w:val="222222"/>
          <w:sz w:val="21"/>
          <w:szCs w:val="21"/>
        </w:rPr>
      </w:pPr>
      <w:r>
        <w:rPr>
          <w:rFonts w:ascii="Arial" w:hAnsi="Arial" w:cs="Arial"/>
          <w:color w:val="222222"/>
          <w:sz w:val="21"/>
          <w:szCs w:val="21"/>
        </w:rPr>
        <w:t xml:space="preserve">Ante la confusión e inconsistencia de los datos reportados en el Anexo 2, se presume que, al igual que en la observación 1.2, en ésta existen errores de captura de la información, por lo que esta Dirección Administrativa concluye que se ofrecen evidencias suficientes para presentar ante la Contraloría a fin de que pueda quedar solventada la observación 1.3, en virtud de que </w:t>
      </w:r>
      <w:r w:rsidRPr="007C7784">
        <w:rPr>
          <w:rFonts w:ascii="Arial" w:hAnsi="Arial" w:cs="Arial"/>
          <w:b/>
          <w:color w:val="222222"/>
          <w:sz w:val="21"/>
          <w:szCs w:val="21"/>
        </w:rPr>
        <w:t>no se detecta incumplimiento alguno.</w:t>
      </w:r>
    </w:p>
    <w:p w:rsidR="00D13256" w:rsidRPr="007C7784" w:rsidRDefault="00D13256" w:rsidP="00D13256">
      <w:pPr>
        <w:pStyle w:val="Prrafodelista"/>
        <w:spacing w:after="120" w:line="240" w:lineRule="auto"/>
        <w:ind w:left="1080"/>
        <w:jc w:val="both"/>
        <w:rPr>
          <w:rFonts w:ascii="Arial" w:hAnsi="Arial" w:cs="Arial"/>
          <w:b/>
          <w:color w:val="222222"/>
          <w:sz w:val="21"/>
          <w:szCs w:val="21"/>
        </w:rPr>
      </w:pPr>
    </w:p>
    <w:p w:rsidR="00D13256" w:rsidRDefault="00D13256" w:rsidP="00D13256">
      <w:pPr>
        <w:rPr>
          <w:b/>
        </w:rPr>
      </w:pPr>
      <w:r>
        <w:rPr>
          <w:b/>
        </w:rPr>
        <w:t>Respuesta a la Observación 1.4.</w:t>
      </w:r>
    </w:p>
    <w:p w:rsidR="00D13256" w:rsidRPr="00E4385C" w:rsidRDefault="00D13256" w:rsidP="00D13256">
      <w:pPr>
        <w:pStyle w:val="Prrafodelista"/>
        <w:numPr>
          <w:ilvl w:val="0"/>
          <w:numId w:val="6"/>
        </w:numPr>
        <w:spacing w:after="120" w:line="240" w:lineRule="auto"/>
        <w:ind w:left="1418"/>
        <w:jc w:val="both"/>
        <w:rPr>
          <w:rFonts w:ascii="Arial" w:hAnsi="Arial" w:cs="Arial"/>
          <w:color w:val="222222"/>
          <w:sz w:val="21"/>
          <w:szCs w:val="21"/>
        </w:rPr>
      </w:pPr>
      <w:r>
        <w:rPr>
          <w:rFonts w:ascii="Arial" w:hAnsi="Arial" w:cs="Arial"/>
          <w:color w:val="222222"/>
          <w:sz w:val="21"/>
          <w:szCs w:val="21"/>
        </w:rPr>
        <w:t xml:space="preserve">En el documento </w:t>
      </w:r>
      <w:r w:rsidRPr="00910FFE">
        <w:rPr>
          <w:rFonts w:ascii="Arial" w:hAnsi="Arial" w:cs="Arial"/>
          <w:color w:val="222222"/>
          <w:sz w:val="21"/>
          <w:szCs w:val="21"/>
          <w:u w:val="single"/>
        </w:rPr>
        <w:t>“</w:t>
      </w:r>
      <w:r>
        <w:rPr>
          <w:rFonts w:ascii="Arial" w:hAnsi="Arial" w:cs="Arial"/>
          <w:color w:val="222222"/>
          <w:sz w:val="21"/>
          <w:szCs w:val="21"/>
          <w:u w:val="single"/>
        </w:rPr>
        <w:t>Analítico Mensual de Egresos Pagados al 31/</w:t>
      </w:r>
      <w:proofErr w:type="spellStart"/>
      <w:r>
        <w:rPr>
          <w:rFonts w:ascii="Arial" w:hAnsi="Arial" w:cs="Arial"/>
          <w:color w:val="222222"/>
          <w:sz w:val="21"/>
          <w:szCs w:val="21"/>
          <w:u w:val="single"/>
        </w:rPr>
        <w:t>Dic</w:t>
      </w:r>
      <w:proofErr w:type="spellEnd"/>
      <w:r>
        <w:rPr>
          <w:rFonts w:ascii="Arial" w:hAnsi="Arial" w:cs="Arial"/>
          <w:color w:val="222222"/>
          <w:sz w:val="21"/>
          <w:szCs w:val="21"/>
          <w:u w:val="single"/>
        </w:rPr>
        <w:t>/12</w:t>
      </w:r>
      <w:r w:rsidRPr="00910FFE">
        <w:rPr>
          <w:rFonts w:ascii="Arial" w:hAnsi="Arial" w:cs="Arial"/>
          <w:color w:val="222222"/>
          <w:sz w:val="21"/>
          <w:szCs w:val="21"/>
          <w:u w:val="single"/>
        </w:rPr>
        <w:t>”</w:t>
      </w:r>
      <w:r>
        <w:rPr>
          <w:rFonts w:ascii="Arial" w:hAnsi="Arial" w:cs="Arial"/>
          <w:color w:val="222222"/>
          <w:sz w:val="21"/>
          <w:szCs w:val="21"/>
        </w:rPr>
        <w:t xml:space="preserve"> (mismo que se anexa al presente), se puede observar </w:t>
      </w:r>
      <w:r w:rsidRPr="00B40050">
        <w:rPr>
          <w:rFonts w:ascii="Arial" w:hAnsi="Arial" w:cs="Arial"/>
          <w:color w:val="222222"/>
          <w:sz w:val="21"/>
          <w:szCs w:val="21"/>
          <w:u w:val="single"/>
        </w:rPr>
        <w:t>que en efecto las partidas referidas en el Anexo 3 se ejercieron por montos mayores a los aprobados</w:t>
      </w:r>
      <w:r>
        <w:rPr>
          <w:rFonts w:ascii="Arial" w:hAnsi="Arial" w:cs="Arial"/>
          <w:color w:val="222222"/>
          <w:sz w:val="21"/>
          <w:szCs w:val="21"/>
        </w:rPr>
        <w:t xml:space="preserve"> inicialmente por el Consejo Directivo. </w:t>
      </w:r>
      <w:r w:rsidRPr="00B40050">
        <w:rPr>
          <w:rFonts w:ascii="Arial" w:hAnsi="Arial" w:cs="Arial"/>
          <w:color w:val="222222"/>
          <w:sz w:val="21"/>
          <w:szCs w:val="21"/>
          <w:u w:val="single"/>
        </w:rPr>
        <w:t>Sin embargo el propio documento “Analítico Mensual de Egresos Pagados al 31/</w:t>
      </w:r>
      <w:r w:rsidR="00B40050" w:rsidRPr="00B40050">
        <w:rPr>
          <w:rFonts w:ascii="Arial" w:hAnsi="Arial" w:cs="Arial"/>
          <w:color w:val="222222"/>
          <w:sz w:val="21"/>
          <w:szCs w:val="21"/>
          <w:u w:val="single"/>
        </w:rPr>
        <w:t>Dic.</w:t>
      </w:r>
      <w:r w:rsidRPr="00B40050">
        <w:rPr>
          <w:rFonts w:ascii="Arial" w:hAnsi="Arial" w:cs="Arial"/>
          <w:color w:val="222222"/>
          <w:sz w:val="21"/>
          <w:szCs w:val="21"/>
          <w:u w:val="single"/>
        </w:rPr>
        <w:t>/12” se encuentra firmado por todos los miembros del Consejo Directivo, quienes lo aprobaron por unanimidad en la Cuadragésima Novena Sesión Ordinaria del Consejo Directivo, lo cual consta en el Acuerdo 2 del Acta de dicha sesión (se anexa copia de la misma), celebrada el día 19 de febrero de 2013, lo que implica en consecuencia que como Máximo Órgano de Gobierno, el Consejo Directivo autorizó el monto erogado en cada una de las partidas referidas en el Anexo 3.</w:t>
      </w:r>
    </w:p>
    <w:p w:rsidR="00D13256" w:rsidRDefault="00D13256" w:rsidP="00D13256">
      <w:pPr>
        <w:pStyle w:val="Prrafodelista"/>
        <w:spacing w:after="120" w:line="240" w:lineRule="auto"/>
        <w:ind w:left="375"/>
        <w:jc w:val="both"/>
        <w:rPr>
          <w:rFonts w:ascii="Arial" w:hAnsi="Arial" w:cs="Arial"/>
          <w:b/>
          <w:color w:val="222222"/>
          <w:sz w:val="21"/>
          <w:szCs w:val="21"/>
        </w:rPr>
      </w:pPr>
    </w:p>
    <w:p w:rsidR="00D13256" w:rsidRPr="005277DB" w:rsidRDefault="00D13256" w:rsidP="00D13256">
      <w:pPr>
        <w:pStyle w:val="Prrafodelista"/>
        <w:spacing w:after="120" w:line="240" w:lineRule="auto"/>
        <w:ind w:left="375"/>
        <w:jc w:val="both"/>
        <w:rPr>
          <w:rFonts w:ascii="Arial" w:hAnsi="Arial" w:cs="Arial"/>
          <w:b/>
          <w:color w:val="222222"/>
          <w:sz w:val="21"/>
          <w:szCs w:val="21"/>
        </w:rPr>
      </w:pPr>
      <w:r>
        <w:rPr>
          <w:rFonts w:ascii="Arial" w:hAnsi="Arial" w:cs="Arial"/>
          <w:b/>
          <w:color w:val="222222"/>
          <w:sz w:val="21"/>
          <w:szCs w:val="21"/>
        </w:rPr>
        <w:t>Conclusión de la Observación 1.4:</w:t>
      </w:r>
    </w:p>
    <w:p w:rsidR="00D13256" w:rsidRDefault="00D13256" w:rsidP="00D13256">
      <w:pPr>
        <w:pStyle w:val="Prrafodelista"/>
        <w:spacing w:after="120" w:line="240" w:lineRule="auto"/>
        <w:ind w:left="375"/>
        <w:jc w:val="both"/>
        <w:rPr>
          <w:rFonts w:ascii="Arial" w:hAnsi="Arial" w:cs="Arial"/>
          <w:color w:val="222222"/>
          <w:sz w:val="21"/>
          <w:szCs w:val="21"/>
        </w:rPr>
      </w:pPr>
      <w:r>
        <w:rPr>
          <w:rFonts w:ascii="Arial" w:hAnsi="Arial" w:cs="Arial"/>
          <w:color w:val="222222"/>
          <w:sz w:val="21"/>
          <w:szCs w:val="21"/>
        </w:rPr>
        <w:t>De lo anterior, esta Dirección Administrativa concluye que se ofrecen evidencias suficientes para presentar ante la Contraloría a fin de que pueda quedar solventada la observación 1.4, en virtud de que</w:t>
      </w:r>
      <w:r w:rsidRPr="007C7784">
        <w:rPr>
          <w:rFonts w:ascii="Arial" w:hAnsi="Arial" w:cs="Arial"/>
          <w:b/>
          <w:color w:val="222222"/>
          <w:sz w:val="21"/>
          <w:szCs w:val="21"/>
        </w:rPr>
        <w:t xml:space="preserve"> el Consejo Directivo aprobó el presupuesto ejercido para 2012 como Máximo Órgano de Gobierno, en la Cuadragésima Novena Sesión Ordinaria, por lo que no existe sobre ejercicio en ninguna de las partidas observadas.</w:t>
      </w: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p>
    <w:p w:rsidR="00D13256" w:rsidRDefault="00D13256" w:rsidP="00D13256">
      <w:pPr>
        <w:rPr>
          <w:b/>
        </w:rPr>
      </w:pPr>
      <w:r>
        <w:rPr>
          <w:b/>
        </w:rPr>
        <w:t>ANEXO 4</w:t>
      </w:r>
    </w:p>
    <w:p w:rsidR="00D13256" w:rsidRDefault="00D13256" w:rsidP="00D13256">
      <w:pPr>
        <w:rPr>
          <w:b/>
        </w:rPr>
      </w:pPr>
      <w:r>
        <w:rPr>
          <w:b/>
        </w:rPr>
        <w:t>Respuesta a la Observación 2.1.</w:t>
      </w:r>
    </w:p>
    <w:p w:rsidR="00D13256" w:rsidRPr="009701A4" w:rsidRDefault="00D13256" w:rsidP="00D13256">
      <w:pPr>
        <w:pStyle w:val="Prrafodelista"/>
        <w:numPr>
          <w:ilvl w:val="0"/>
          <w:numId w:val="7"/>
        </w:numPr>
        <w:spacing w:after="120" w:line="240" w:lineRule="auto"/>
        <w:jc w:val="both"/>
        <w:rPr>
          <w:rFonts w:ascii="Arial" w:hAnsi="Arial" w:cs="Arial"/>
          <w:b/>
          <w:color w:val="222222"/>
          <w:sz w:val="21"/>
          <w:szCs w:val="21"/>
        </w:rPr>
      </w:pPr>
      <w:r>
        <w:rPr>
          <w:rFonts w:ascii="Arial" w:hAnsi="Arial" w:cs="Arial"/>
          <w:color w:val="222222"/>
          <w:sz w:val="21"/>
          <w:szCs w:val="21"/>
        </w:rPr>
        <w:t>Del propio fundamento al que hace referencia la observación se concluye que no existe incumplimiento, ya que en la redacción de la misma se remarca lo referente al egreso: “</w:t>
      </w:r>
      <w:r w:rsidRPr="00B179F4">
        <w:rPr>
          <w:rFonts w:ascii="Arial" w:hAnsi="Arial" w:cs="Arial"/>
          <w:i/>
          <w:color w:val="222222"/>
          <w:sz w:val="21"/>
          <w:szCs w:val="21"/>
        </w:rPr>
        <w:t xml:space="preserve">la contabilización de las transacciones </w:t>
      </w:r>
      <w:r w:rsidRPr="00DC7CE8">
        <w:rPr>
          <w:rFonts w:ascii="Arial" w:hAnsi="Arial" w:cs="Arial"/>
          <w:b/>
          <w:i/>
          <w:color w:val="222222"/>
          <w:sz w:val="21"/>
          <w:szCs w:val="21"/>
        </w:rPr>
        <w:t>de gasto</w:t>
      </w:r>
      <w:r w:rsidRPr="00B179F4">
        <w:rPr>
          <w:rFonts w:ascii="Arial" w:hAnsi="Arial" w:cs="Arial"/>
          <w:i/>
          <w:color w:val="222222"/>
          <w:sz w:val="21"/>
          <w:szCs w:val="21"/>
        </w:rPr>
        <w:t xml:space="preserve"> se hará conforme a la fecha de su realización</w:t>
      </w:r>
      <w:r>
        <w:rPr>
          <w:rFonts w:ascii="Arial" w:hAnsi="Arial" w:cs="Arial"/>
          <w:b/>
          <w:i/>
          <w:color w:val="222222"/>
          <w:sz w:val="21"/>
          <w:szCs w:val="21"/>
        </w:rPr>
        <w:t>”</w:t>
      </w:r>
      <w:r>
        <w:rPr>
          <w:rFonts w:ascii="Arial" w:hAnsi="Arial" w:cs="Arial"/>
          <w:b/>
          <w:color w:val="222222"/>
          <w:sz w:val="21"/>
          <w:szCs w:val="21"/>
        </w:rPr>
        <w:t xml:space="preserve">. </w:t>
      </w:r>
      <w:r>
        <w:rPr>
          <w:rFonts w:ascii="Arial" w:hAnsi="Arial" w:cs="Arial"/>
          <w:color w:val="222222"/>
          <w:sz w:val="21"/>
          <w:szCs w:val="21"/>
        </w:rPr>
        <w:t xml:space="preserve">Sin embargo, en este caso, al ser </w:t>
      </w:r>
      <w:r>
        <w:rPr>
          <w:rFonts w:ascii="Arial" w:hAnsi="Arial" w:cs="Arial"/>
          <w:b/>
          <w:color w:val="222222"/>
          <w:sz w:val="21"/>
          <w:szCs w:val="21"/>
        </w:rPr>
        <w:t>intereses ganados</w:t>
      </w:r>
      <w:r>
        <w:rPr>
          <w:rFonts w:ascii="Arial" w:hAnsi="Arial" w:cs="Arial"/>
          <w:color w:val="222222"/>
          <w:sz w:val="21"/>
          <w:szCs w:val="21"/>
        </w:rPr>
        <w:t xml:space="preserve"> se trata de un </w:t>
      </w:r>
      <w:r>
        <w:rPr>
          <w:rFonts w:ascii="Arial" w:hAnsi="Arial" w:cs="Arial"/>
          <w:b/>
          <w:color w:val="222222"/>
          <w:sz w:val="21"/>
          <w:szCs w:val="21"/>
        </w:rPr>
        <w:t>ingreso</w:t>
      </w:r>
      <w:r>
        <w:rPr>
          <w:rFonts w:ascii="Arial" w:hAnsi="Arial" w:cs="Arial"/>
          <w:color w:val="222222"/>
          <w:sz w:val="21"/>
          <w:szCs w:val="21"/>
        </w:rPr>
        <w:t>, por lo que corresponde aplicar entonces el último enunciado del párrafo citado de la LGCG: “…</w:t>
      </w:r>
      <w:r w:rsidRPr="00DC7CE8">
        <w:rPr>
          <w:rFonts w:ascii="Arial" w:hAnsi="Arial" w:cs="Arial"/>
          <w:b/>
          <w:i/>
          <w:color w:val="222222"/>
          <w:sz w:val="21"/>
          <w:szCs w:val="21"/>
        </w:rPr>
        <w:t>la del ingreso se registrará cuando exista jurídicamente el derecho de cobro</w:t>
      </w:r>
      <w:r>
        <w:rPr>
          <w:rFonts w:ascii="Arial" w:hAnsi="Arial" w:cs="Arial"/>
          <w:b/>
          <w:i/>
          <w:color w:val="222222"/>
          <w:sz w:val="21"/>
          <w:szCs w:val="21"/>
        </w:rPr>
        <w:t>”</w:t>
      </w:r>
      <w:r>
        <w:rPr>
          <w:rFonts w:ascii="Arial" w:hAnsi="Arial" w:cs="Arial"/>
          <w:i/>
          <w:color w:val="222222"/>
          <w:sz w:val="21"/>
          <w:szCs w:val="21"/>
        </w:rPr>
        <w:t xml:space="preserve">. </w:t>
      </w:r>
      <w:r>
        <w:rPr>
          <w:rFonts w:ascii="Arial" w:hAnsi="Arial" w:cs="Arial"/>
          <w:color w:val="222222"/>
          <w:sz w:val="21"/>
          <w:szCs w:val="21"/>
        </w:rPr>
        <w:t xml:space="preserve"> Por lo anterior, no es posible registrar los intereses ganados sino hasta que existe el derecho jurídico de cobro, es decir, una vez que concluye el mes. Por lo anterior, es hasta el 1 de enero cuando, para este caso, </w:t>
      </w:r>
      <w:r>
        <w:rPr>
          <w:rFonts w:ascii="Arial" w:hAnsi="Arial" w:cs="Arial"/>
          <w:b/>
          <w:color w:val="222222"/>
          <w:sz w:val="21"/>
          <w:szCs w:val="21"/>
        </w:rPr>
        <w:t>existe el derecho jur</w:t>
      </w:r>
      <w:r w:rsidRPr="009701A4">
        <w:rPr>
          <w:rFonts w:ascii="Arial" w:hAnsi="Arial" w:cs="Arial"/>
          <w:b/>
          <w:color w:val="222222"/>
          <w:sz w:val="21"/>
          <w:szCs w:val="21"/>
        </w:rPr>
        <w:t>ídico de cobro</w:t>
      </w:r>
      <w:r>
        <w:rPr>
          <w:rFonts w:ascii="Arial" w:hAnsi="Arial" w:cs="Arial"/>
          <w:b/>
          <w:color w:val="222222"/>
          <w:sz w:val="21"/>
          <w:szCs w:val="21"/>
        </w:rPr>
        <w:t xml:space="preserve">. </w:t>
      </w:r>
      <w:r>
        <w:rPr>
          <w:rFonts w:ascii="Arial" w:hAnsi="Arial" w:cs="Arial"/>
          <w:color w:val="222222"/>
          <w:sz w:val="21"/>
          <w:szCs w:val="21"/>
        </w:rPr>
        <w:t xml:space="preserve">Lo anterior se puede evidenciar en los </w:t>
      </w:r>
      <w:r w:rsidRPr="009701A4">
        <w:rPr>
          <w:rFonts w:ascii="Arial" w:hAnsi="Arial" w:cs="Arial"/>
          <w:color w:val="222222"/>
          <w:sz w:val="21"/>
          <w:szCs w:val="21"/>
          <w:u w:val="single"/>
        </w:rPr>
        <w:t>Estados de Cuenta bancarios del mes de Diciembre de 2013</w:t>
      </w:r>
      <w:r>
        <w:rPr>
          <w:rFonts w:ascii="Arial" w:hAnsi="Arial" w:cs="Arial"/>
          <w:color w:val="222222"/>
          <w:sz w:val="21"/>
          <w:szCs w:val="21"/>
        </w:rPr>
        <w:t>, de las 2 cuentas de inversiones observadas,</w:t>
      </w:r>
      <w:r w:rsidRPr="009701A4">
        <w:rPr>
          <w:rFonts w:ascii="Arial" w:hAnsi="Arial" w:cs="Arial"/>
          <w:color w:val="222222"/>
          <w:sz w:val="21"/>
          <w:szCs w:val="21"/>
        </w:rPr>
        <w:t xml:space="preserve"> en los cuales se especifica la fecha de corte, siendo a la conclusión de dicha fecha cuando existe el derecho jurídico de cobro</w:t>
      </w:r>
      <w:r>
        <w:rPr>
          <w:rFonts w:ascii="Arial" w:hAnsi="Arial" w:cs="Arial"/>
          <w:color w:val="222222"/>
          <w:sz w:val="21"/>
          <w:szCs w:val="21"/>
        </w:rPr>
        <w:t>. Asimismo se especifica la fecha de emisi</w:t>
      </w:r>
      <w:r w:rsidRPr="009701A4">
        <w:rPr>
          <w:rFonts w:ascii="Arial" w:hAnsi="Arial" w:cs="Arial"/>
          <w:color w:val="222222"/>
          <w:sz w:val="21"/>
          <w:szCs w:val="21"/>
        </w:rPr>
        <w:t>ón</w:t>
      </w:r>
      <w:r>
        <w:rPr>
          <w:rFonts w:ascii="Arial" w:hAnsi="Arial" w:cs="Arial"/>
          <w:color w:val="222222"/>
          <w:sz w:val="21"/>
          <w:szCs w:val="21"/>
        </w:rPr>
        <w:t xml:space="preserve"> del documento, la cual es el </w:t>
      </w:r>
      <w:r>
        <w:rPr>
          <w:rFonts w:ascii="Arial" w:hAnsi="Arial" w:cs="Arial"/>
          <w:b/>
          <w:color w:val="222222"/>
          <w:sz w:val="21"/>
          <w:szCs w:val="21"/>
        </w:rPr>
        <w:t>1 de enero de 2014</w:t>
      </w:r>
      <w:r>
        <w:rPr>
          <w:rFonts w:ascii="Arial" w:hAnsi="Arial" w:cs="Arial"/>
          <w:color w:val="222222"/>
          <w:sz w:val="21"/>
          <w:szCs w:val="21"/>
        </w:rPr>
        <w:t>, por lo que no era posible hacer el registro con fecha previa.</w:t>
      </w:r>
    </w:p>
    <w:p w:rsidR="00D13256" w:rsidRPr="00DC7CE8" w:rsidRDefault="00D13256" w:rsidP="00D13256">
      <w:pPr>
        <w:pStyle w:val="Prrafodelista"/>
        <w:spacing w:after="120" w:line="240" w:lineRule="auto"/>
        <w:ind w:left="1440"/>
        <w:jc w:val="both"/>
        <w:rPr>
          <w:rFonts w:ascii="Arial" w:hAnsi="Arial" w:cs="Arial"/>
          <w:b/>
          <w:color w:val="222222"/>
          <w:sz w:val="21"/>
          <w:szCs w:val="21"/>
        </w:rPr>
      </w:pPr>
    </w:p>
    <w:p w:rsidR="00D13256" w:rsidRDefault="00D13256" w:rsidP="00D13256">
      <w:pPr>
        <w:pStyle w:val="Prrafodelista"/>
        <w:spacing w:after="120" w:line="240" w:lineRule="auto"/>
        <w:ind w:left="375"/>
        <w:jc w:val="both"/>
        <w:rPr>
          <w:rFonts w:ascii="Arial" w:hAnsi="Arial" w:cs="Arial"/>
          <w:b/>
          <w:color w:val="222222"/>
          <w:sz w:val="21"/>
          <w:szCs w:val="21"/>
        </w:rPr>
      </w:pPr>
      <w:r>
        <w:rPr>
          <w:rFonts w:ascii="Arial" w:hAnsi="Arial" w:cs="Arial"/>
          <w:b/>
          <w:color w:val="222222"/>
          <w:sz w:val="21"/>
          <w:szCs w:val="21"/>
        </w:rPr>
        <w:t>Conclusión de la Observación 2.1:</w:t>
      </w:r>
    </w:p>
    <w:p w:rsidR="00D13256" w:rsidRDefault="00D13256" w:rsidP="00D13256">
      <w:pPr>
        <w:pStyle w:val="Prrafodelista"/>
        <w:spacing w:after="120" w:line="240" w:lineRule="auto"/>
        <w:jc w:val="both"/>
        <w:rPr>
          <w:rFonts w:ascii="Arial" w:hAnsi="Arial" w:cs="Arial"/>
          <w:color w:val="222222"/>
          <w:sz w:val="21"/>
          <w:szCs w:val="21"/>
        </w:rPr>
      </w:pPr>
      <w:r>
        <w:rPr>
          <w:rFonts w:ascii="Arial" w:hAnsi="Arial" w:cs="Arial"/>
          <w:color w:val="222222"/>
          <w:sz w:val="21"/>
          <w:szCs w:val="21"/>
        </w:rPr>
        <w:t xml:space="preserve">De lo anterior, esta Dirección Administrativa concluye que se ofrecen evidencias suficientes para presentar ante la Contraloría a fin de que pueda quedar solventada la observación 2.1, en virtud de que </w:t>
      </w:r>
      <w:r w:rsidRPr="007C7784">
        <w:rPr>
          <w:rFonts w:ascii="Arial" w:hAnsi="Arial" w:cs="Arial"/>
          <w:b/>
          <w:color w:val="222222"/>
          <w:sz w:val="21"/>
          <w:szCs w:val="21"/>
        </w:rPr>
        <w:t>no existe incumplimiento a la LGCG, por tratarse de ingresos para el Organismo y haberse registrado éstos, conforme lo marca la Ley, hasta que existe el derecho jurídico de cobro.</w:t>
      </w:r>
      <w:r>
        <w:rPr>
          <w:rFonts w:ascii="Arial" w:hAnsi="Arial" w:cs="Arial"/>
          <w:color w:val="222222"/>
          <w:sz w:val="21"/>
          <w:szCs w:val="21"/>
        </w:rPr>
        <w:t xml:space="preserve"> </w:t>
      </w:r>
    </w:p>
    <w:p w:rsidR="00D13256" w:rsidRPr="00D13256" w:rsidRDefault="00D13256" w:rsidP="00D13256">
      <w:pPr>
        <w:rPr>
          <w:b/>
        </w:rPr>
      </w:pPr>
    </w:p>
    <w:sectPr w:rsidR="00D13256" w:rsidRPr="00D13256" w:rsidSect="00A6277E">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03" w:rsidRDefault="00473E03" w:rsidP="003967AB">
      <w:r>
        <w:separator/>
      </w:r>
    </w:p>
  </w:endnote>
  <w:endnote w:type="continuationSeparator" w:id="0">
    <w:p w:rsidR="00473E03" w:rsidRDefault="00473E03" w:rsidP="00396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03" w:rsidRDefault="00473E03" w:rsidP="003967AB">
      <w:r>
        <w:separator/>
      </w:r>
    </w:p>
  </w:footnote>
  <w:footnote w:type="continuationSeparator" w:id="0">
    <w:p w:rsidR="00473E03" w:rsidRDefault="00473E03" w:rsidP="00396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AB" w:rsidRDefault="003967AB" w:rsidP="003967AB">
    <w:pPr>
      <w:pStyle w:val="Encabezado"/>
      <w:jc w:val="right"/>
      <w:rPr>
        <w:rFonts w:ascii="Arial" w:hAnsi="Arial" w:cs="Arial"/>
        <w:b/>
        <w:w w:val="200"/>
      </w:rPr>
    </w:pPr>
  </w:p>
  <w:p w:rsidR="003967AB" w:rsidRDefault="003967AB" w:rsidP="003967AB">
    <w:pPr>
      <w:pStyle w:val="Encabezado"/>
      <w:jc w:val="right"/>
      <w:rPr>
        <w:rFonts w:ascii="Arial" w:hAnsi="Arial" w:cs="Arial"/>
        <w:b/>
        <w:w w:val="200"/>
      </w:rPr>
    </w:pPr>
  </w:p>
  <w:p w:rsidR="003967AB" w:rsidRPr="00796F58" w:rsidRDefault="003967AB" w:rsidP="003967AB">
    <w:pPr>
      <w:pStyle w:val="Encabezado"/>
      <w:jc w:val="right"/>
      <w:rPr>
        <w:rFonts w:ascii="Arial" w:hAnsi="Arial" w:cs="Arial"/>
        <w:b/>
        <w:w w:val="200"/>
      </w:rPr>
    </w:pPr>
    <w:r w:rsidRPr="00796F58">
      <w:rPr>
        <w:rFonts w:ascii="Arial" w:hAnsi="Arial" w:cs="Arial"/>
        <w:b/>
        <w:w w:val="200"/>
      </w:rPr>
      <w:t>Anexo Of. DGP/</w:t>
    </w:r>
    <w:r>
      <w:rPr>
        <w:rFonts w:ascii="Arial" w:hAnsi="Arial" w:cs="Arial"/>
        <w:b/>
        <w:w w:val="200"/>
      </w:rPr>
      <w:t>3845/14</w:t>
    </w:r>
    <w:r w:rsidRPr="00796F58">
      <w:rPr>
        <w:rFonts w:ascii="Arial" w:hAnsi="Arial" w:cs="Arial"/>
        <w:b/>
        <w:w w:val="200"/>
      </w:rPr>
      <w:t xml:space="preserve"> </w:t>
    </w:r>
  </w:p>
  <w:p w:rsidR="003967AB" w:rsidRDefault="003967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173D"/>
    <w:multiLevelType w:val="hybridMultilevel"/>
    <w:tmpl w:val="B6A45F96"/>
    <w:lvl w:ilvl="0" w:tplc="50EE3514">
      <w:start w:val="1"/>
      <w:numFmt w:val="decimal"/>
      <w:lvlText w:val="%1."/>
      <w:lvlJc w:val="left"/>
      <w:pPr>
        <w:ind w:left="1440" w:hanging="360"/>
      </w:pPr>
      <w:rPr>
        <w:rFonts w:hint="default"/>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CC45189"/>
    <w:multiLevelType w:val="hybridMultilevel"/>
    <w:tmpl w:val="63F4133E"/>
    <w:lvl w:ilvl="0" w:tplc="6E56765E">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C3B701B"/>
    <w:multiLevelType w:val="hybridMultilevel"/>
    <w:tmpl w:val="4E2082EA"/>
    <w:lvl w:ilvl="0" w:tplc="BBFC2122">
      <w:start w:val="1"/>
      <w:numFmt w:val="decimal"/>
      <w:lvlText w:val="%1."/>
      <w:lvlJc w:val="left"/>
      <w:pPr>
        <w:ind w:left="1800" w:hanging="360"/>
      </w:pPr>
      <w:rPr>
        <w:rFonts w:ascii="Arial" w:eastAsiaTheme="minorHAnsi" w:hAnsi="Arial" w:cs="Arial"/>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nsid w:val="504A7714"/>
    <w:multiLevelType w:val="hybridMultilevel"/>
    <w:tmpl w:val="1354DBFA"/>
    <w:lvl w:ilvl="0" w:tplc="51246A4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4E6339E"/>
    <w:multiLevelType w:val="hybridMultilevel"/>
    <w:tmpl w:val="E56C045C"/>
    <w:lvl w:ilvl="0" w:tplc="66C611BC">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EC14AFB"/>
    <w:multiLevelType w:val="hybridMultilevel"/>
    <w:tmpl w:val="73888C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E178C9"/>
    <w:multiLevelType w:val="hybridMultilevel"/>
    <w:tmpl w:val="DA92A3FC"/>
    <w:lvl w:ilvl="0" w:tplc="17A0B1CE">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3256"/>
    <w:rsid w:val="00115238"/>
    <w:rsid w:val="003967AB"/>
    <w:rsid w:val="00473E03"/>
    <w:rsid w:val="006F758C"/>
    <w:rsid w:val="00A6277E"/>
    <w:rsid w:val="00B02EE4"/>
    <w:rsid w:val="00B31E60"/>
    <w:rsid w:val="00B40050"/>
    <w:rsid w:val="00D06731"/>
    <w:rsid w:val="00D13256"/>
    <w:rsid w:val="00E912F8"/>
    <w:rsid w:val="00F3616A"/>
    <w:rsid w:val="00FC21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8C"/>
    <w:rPr>
      <w:sz w:val="24"/>
      <w:szCs w:val="24"/>
      <w:lang w:eastAsia="es-ES"/>
    </w:rPr>
  </w:style>
  <w:style w:type="paragraph" w:styleId="Ttulo1">
    <w:name w:val="heading 1"/>
    <w:basedOn w:val="Normal"/>
    <w:next w:val="Normal"/>
    <w:link w:val="Ttulo1Car"/>
    <w:qFormat/>
    <w:rsid w:val="006F758C"/>
    <w:pPr>
      <w:keepNext/>
      <w:jc w:val="center"/>
      <w:outlineLvl w:val="0"/>
    </w:pPr>
    <w:rPr>
      <w:szCs w:val="20"/>
      <w:lang w:val="es-ES"/>
    </w:rPr>
  </w:style>
  <w:style w:type="paragraph" w:styleId="Ttulo2">
    <w:name w:val="heading 2"/>
    <w:basedOn w:val="Normal"/>
    <w:next w:val="Normal"/>
    <w:link w:val="Ttulo2Car"/>
    <w:qFormat/>
    <w:rsid w:val="006F758C"/>
    <w:pPr>
      <w:keepNext/>
      <w:jc w:val="both"/>
      <w:outlineLvl w:val="1"/>
    </w:pPr>
    <w:rPr>
      <w:b/>
      <w:szCs w:val="20"/>
      <w:lang w:val="es-ES"/>
    </w:rPr>
  </w:style>
  <w:style w:type="paragraph" w:styleId="Ttulo3">
    <w:name w:val="heading 3"/>
    <w:basedOn w:val="Normal"/>
    <w:next w:val="Normal"/>
    <w:link w:val="Ttulo3Car"/>
    <w:qFormat/>
    <w:rsid w:val="006F758C"/>
    <w:pPr>
      <w:keepNext/>
      <w:outlineLvl w:val="2"/>
    </w:pPr>
    <w:rPr>
      <w:rFonts w:ascii="Arial" w:hAnsi="Arial"/>
      <w:szCs w:val="20"/>
      <w:lang w:val="es-ES"/>
    </w:rPr>
  </w:style>
  <w:style w:type="paragraph" w:styleId="Ttulo4">
    <w:name w:val="heading 4"/>
    <w:basedOn w:val="Normal"/>
    <w:next w:val="Normal"/>
    <w:link w:val="Ttulo4Car"/>
    <w:qFormat/>
    <w:rsid w:val="006F758C"/>
    <w:pPr>
      <w:keepNext/>
      <w:jc w:val="both"/>
      <w:outlineLvl w:val="3"/>
    </w:pPr>
    <w:rPr>
      <w:rFonts w:ascii="Arial" w:hAnsi="Arial"/>
      <w:b/>
      <w:sz w:val="20"/>
      <w:szCs w:val="20"/>
      <w:lang w:val="es-ES"/>
    </w:rPr>
  </w:style>
  <w:style w:type="paragraph" w:styleId="Ttulo5">
    <w:name w:val="heading 5"/>
    <w:basedOn w:val="Normal"/>
    <w:next w:val="Normal"/>
    <w:link w:val="Ttulo5Car"/>
    <w:qFormat/>
    <w:rsid w:val="006F758C"/>
    <w:pPr>
      <w:keepNext/>
      <w:jc w:val="center"/>
      <w:outlineLvl w:val="4"/>
    </w:pPr>
    <w:rPr>
      <w:rFonts w:ascii="Arial" w:hAnsi="Arial"/>
      <w:b/>
      <w:sz w:val="20"/>
      <w:szCs w:val="20"/>
      <w:lang w:val="es-ES"/>
    </w:rPr>
  </w:style>
  <w:style w:type="paragraph" w:styleId="Ttulo6">
    <w:name w:val="heading 6"/>
    <w:basedOn w:val="Normal"/>
    <w:next w:val="Normal"/>
    <w:link w:val="Ttulo6Car"/>
    <w:qFormat/>
    <w:rsid w:val="006F758C"/>
    <w:pPr>
      <w:keepNext/>
      <w:jc w:val="center"/>
      <w:outlineLvl w:val="5"/>
    </w:pPr>
    <w:rPr>
      <w:rFonts w:ascii="Arial" w:hAnsi="Arial"/>
      <w:b/>
      <w:sz w:val="22"/>
      <w:lang w:val="es-ES"/>
    </w:rPr>
  </w:style>
  <w:style w:type="paragraph" w:styleId="Ttulo7">
    <w:name w:val="heading 7"/>
    <w:basedOn w:val="Normal"/>
    <w:next w:val="Normal"/>
    <w:link w:val="Ttulo7Car"/>
    <w:qFormat/>
    <w:rsid w:val="006F758C"/>
    <w:pPr>
      <w:keepNext/>
      <w:outlineLvl w:val="6"/>
    </w:pPr>
    <w:rPr>
      <w:rFonts w:ascii="Arial" w:hAnsi="Arial"/>
      <w:b/>
      <w:bCs/>
      <w:sz w:val="22"/>
      <w:lang w:val="es-ES"/>
    </w:rPr>
  </w:style>
  <w:style w:type="paragraph" w:styleId="Ttulo8">
    <w:name w:val="heading 8"/>
    <w:basedOn w:val="Normal"/>
    <w:next w:val="Normal"/>
    <w:link w:val="Ttulo8Car"/>
    <w:qFormat/>
    <w:rsid w:val="006F758C"/>
    <w:pPr>
      <w:keepNext/>
      <w:jc w:val="both"/>
      <w:outlineLvl w:val="7"/>
    </w:pPr>
    <w:rPr>
      <w:rFonts w:ascii="Arial" w:hAnsi="Arial"/>
      <w:b/>
      <w:bCs/>
      <w:sz w:val="22"/>
      <w:lang w:val="es-ES"/>
    </w:rPr>
  </w:style>
  <w:style w:type="paragraph" w:styleId="Ttulo9">
    <w:name w:val="heading 9"/>
    <w:basedOn w:val="Normal"/>
    <w:next w:val="Normal"/>
    <w:link w:val="Ttulo9Car"/>
    <w:qFormat/>
    <w:rsid w:val="006F758C"/>
    <w:pPr>
      <w:keepNext/>
      <w:outlineLvl w:val="8"/>
    </w:pPr>
    <w:rPr>
      <w:rFonts w:ascii="Arial" w:hAnsi="Arial" w:cs="Arial"/>
      <w:b/>
      <w:bCs/>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758C"/>
    <w:rPr>
      <w:sz w:val="24"/>
      <w:lang w:val="es-ES" w:eastAsia="es-ES"/>
    </w:rPr>
  </w:style>
  <w:style w:type="character" w:customStyle="1" w:styleId="Ttulo2Car">
    <w:name w:val="Título 2 Car"/>
    <w:basedOn w:val="Fuentedeprrafopredeter"/>
    <w:link w:val="Ttulo2"/>
    <w:rsid w:val="006F758C"/>
    <w:rPr>
      <w:b/>
      <w:sz w:val="24"/>
      <w:lang w:val="es-ES" w:eastAsia="es-ES"/>
    </w:rPr>
  </w:style>
  <w:style w:type="character" w:customStyle="1" w:styleId="Ttulo3Car">
    <w:name w:val="Título 3 Car"/>
    <w:basedOn w:val="Fuentedeprrafopredeter"/>
    <w:link w:val="Ttulo3"/>
    <w:rsid w:val="006F758C"/>
    <w:rPr>
      <w:rFonts w:ascii="Arial" w:hAnsi="Arial"/>
      <w:sz w:val="24"/>
      <w:lang w:val="es-ES" w:eastAsia="es-ES"/>
    </w:rPr>
  </w:style>
  <w:style w:type="character" w:customStyle="1" w:styleId="Ttulo4Car">
    <w:name w:val="Título 4 Car"/>
    <w:basedOn w:val="Fuentedeprrafopredeter"/>
    <w:link w:val="Ttulo4"/>
    <w:rsid w:val="006F758C"/>
    <w:rPr>
      <w:rFonts w:ascii="Arial" w:hAnsi="Arial"/>
      <w:b/>
      <w:lang w:val="es-ES" w:eastAsia="es-ES"/>
    </w:rPr>
  </w:style>
  <w:style w:type="character" w:customStyle="1" w:styleId="Ttulo5Car">
    <w:name w:val="Título 5 Car"/>
    <w:basedOn w:val="Fuentedeprrafopredeter"/>
    <w:link w:val="Ttulo5"/>
    <w:rsid w:val="006F758C"/>
    <w:rPr>
      <w:rFonts w:ascii="Arial" w:hAnsi="Arial"/>
      <w:b/>
      <w:lang w:val="es-ES" w:eastAsia="es-ES"/>
    </w:rPr>
  </w:style>
  <w:style w:type="character" w:customStyle="1" w:styleId="Ttulo6Car">
    <w:name w:val="Título 6 Car"/>
    <w:basedOn w:val="Fuentedeprrafopredeter"/>
    <w:link w:val="Ttulo6"/>
    <w:rsid w:val="006F758C"/>
    <w:rPr>
      <w:rFonts w:ascii="Arial" w:hAnsi="Arial"/>
      <w:b/>
      <w:sz w:val="22"/>
      <w:szCs w:val="24"/>
      <w:lang w:val="es-ES" w:eastAsia="es-ES"/>
    </w:rPr>
  </w:style>
  <w:style w:type="character" w:customStyle="1" w:styleId="Ttulo7Car">
    <w:name w:val="Título 7 Car"/>
    <w:basedOn w:val="Fuentedeprrafopredeter"/>
    <w:link w:val="Ttulo7"/>
    <w:rsid w:val="006F758C"/>
    <w:rPr>
      <w:rFonts w:ascii="Arial" w:hAnsi="Arial"/>
      <w:b/>
      <w:bCs/>
      <w:sz w:val="22"/>
      <w:szCs w:val="24"/>
      <w:lang w:val="es-ES" w:eastAsia="es-ES"/>
    </w:rPr>
  </w:style>
  <w:style w:type="character" w:customStyle="1" w:styleId="Ttulo8Car">
    <w:name w:val="Título 8 Car"/>
    <w:basedOn w:val="Fuentedeprrafopredeter"/>
    <w:link w:val="Ttulo8"/>
    <w:rsid w:val="006F758C"/>
    <w:rPr>
      <w:rFonts w:ascii="Arial" w:hAnsi="Arial"/>
      <w:b/>
      <w:bCs/>
      <w:sz w:val="22"/>
      <w:szCs w:val="24"/>
      <w:lang w:val="es-ES" w:eastAsia="es-ES"/>
    </w:rPr>
  </w:style>
  <w:style w:type="character" w:customStyle="1" w:styleId="Ttulo9Car">
    <w:name w:val="Título 9 Car"/>
    <w:basedOn w:val="Fuentedeprrafopredeter"/>
    <w:link w:val="Ttulo9"/>
    <w:rsid w:val="006F758C"/>
    <w:rPr>
      <w:rFonts w:ascii="Arial" w:hAnsi="Arial" w:cs="Arial"/>
      <w:b/>
      <w:bCs/>
      <w:sz w:val="24"/>
      <w:szCs w:val="24"/>
      <w:u w:val="single"/>
      <w:lang w:val="es-ES" w:eastAsia="es-ES"/>
    </w:rPr>
  </w:style>
  <w:style w:type="paragraph" w:customStyle="1" w:styleId="Prrafodelista1">
    <w:name w:val="Párrafo de lista1"/>
    <w:basedOn w:val="Normal"/>
    <w:uiPriority w:val="34"/>
    <w:qFormat/>
    <w:rsid w:val="006F758C"/>
    <w:pPr>
      <w:ind w:left="708"/>
    </w:pPr>
  </w:style>
  <w:style w:type="paragraph" w:styleId="Prrafodelista">
    <w:name w:val="List Paragraph"/>
    <w:basedOn w:val="Normal"/>
    <w:uiPriority w:val="34"/>
    <w:qFormat/>
    <w:rsid w:val="00D13256"/>
    <w:pPr>
      <w:spacing w:after="200" w:line="276" w:lineRule="auto"/>
      <w:ind w:left="720"/>
      <w:contextualSpacing/>
    </w:pPr>
    <w:rPr>
      <w:rFonts w:eastAsiaTheme="minorHAnsi"/>
      <w:lang w:eastAsia="en-US"/>
    </w:rPr>
  </w:style>
  <w:style w:type="paragraph" w:styleId="Encabezado">
    <w:name w:val="header"/>
    <w:basedOn w:val="Normal"/>
    <w:link w:val="EncabezadoCar"/>
    <w:unhideWhenUsed/>
    <w:rsid w:val="003967AB"/>
    <w:pPr>
      <w:tabs>
        <w:tab w:val="center" w:pos="4419"/>
        <w:tab w:val="right" w:pos="8838"/>
      </w:tabs>
    </w:pPr>
  </w:style>
  <w:style w:type="character" w:customStyle="1" w:styleId="EncabezadoCar">
    <w:name w:val="Encabezado Car"/>
    <w:basedOn w:val="Fuentedeprrafopredeter"/>
    <w:link w:val="Encabezado"/>
    <w:rsid w:val="003967AB"/>
    <w:rPr>
      <w:sz w:val="24"/>
      <w:szCs w:val="24"/>
      <w:lang w:eastAsia="es-ES"/>
    </w:rPr>
  </w:style>
  <w:style w:type="paragraph" w:styleId="Piedepgina">
    <w:name w:val="footer"/>
    <w:basedOn w:val="Normal"/>
    <w:link w:val="PiedepginaCar"/>
    <w:uiPriority w:val="99"/>
    <w:semiHidden/>
    <w:unhideWhenUsed/>
    <w:rsid w:val="003967AB"/>
    <w:pPr>
      <w:tabs>
        <w:tab w:val="center" w:pos="4419"/>
        <w:tab w:val="right" w:pos="8838"/>
      </w:tabs>
    </w:pPr>
  </w:style>
  <w:style w:type="character" w:customStyle="1" w:styleId="PiedepginaCar">
    <w:name w:val="Pie de página Car"/>
    <w:basedOn w:val="Fuentedeprrafopredeter"/>
    <w:link w:val="Piedepgina"/>
    <w:uiPriority w:val="99"/>
    <w:semiHidden/>
    <w:rsid w:val="003967AB"/>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Mamagañan</dc:creator>
  <cp:lastModifiedBy>X</cp:lastModifiedBy>
  <cp:revision>2</cp:revision>
  <cp:lastPrinted>2014-10-03T16:59:00Z</cp:lastPrinted>
  <dcterms:created xsi:type="dcterms:W3CDTF">2014-12-15T18:29:00Z</dcterms:created>
  <dcterms:modified xsi:type="dcterms:W3CDTF">2014-12-15T18:29:00Z</dcterms:modified>
</cp:coreProperties>
</file>