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C0" w:rsidRDefault="00C97F29" w:rsidP="00CC4684">
      <w:pPr>
        <w:jc w:val="center"/>
        <w:rPr>
          <w:rFonts w:ascii="Arial Rounded MT Bold" w:hAnsi="Arial Rounded MT Bold" w:cs="Arial"/>
          <w:b/>
          <w:sz w:val="28"/>
          <w:szCs w:val="28"/>
        </w:rPr>
      </w:pPr>
      <w:r w:rsidRPr="00B12C2D">
        <w:rPr>
          <w:rFonts w:ascii="Arial Rounded MT Bold" w:hAnsi="Arial Rounded MT Bold" w:cs="Arial"/>
          <w:b/>
          <w:sz w:val="28"/>
          <w:szCs w:val="28"/>
        </w:rPr>
        <w:t>ANEXO  “</w:t>
      </w:r>
      <w:r w:rsidR="00092AC0">
        <w:rPr>
          <w:rFonts w:ascii="Arial Rounded MT Bold" w:hAnsi="Arial Rounded MT Bold" w:cs="Arial"/>
          <w:b/>
          <w:sz w:val="28"/>
          <w:szCs w:val="28"/>
        </w:rPr>
        <w:t>AA</w:t>
      </w:r>
      <w:r w:rsidRPr="00B12C2D">
        <w:rPr>
          <w:rFonts w:ascii="Arial Rounded MT Bold" w:hAnsi="Arial Rounded MT Bold" w:cs="Arial"/>
          <w:b/>
          <w:sz w:val="28"/>
          <w:szCs w:val="28"/>
        </w:rPr>
        <w:t>”</w:t>
      </w:r>
      <w:r w:rsidR="00A74128">
        <w:rPr>
          <w:rFonts w:ascii="Arial Rounded MT Bold" w:hAnsi="Arial Rounded MT Bold" w:cs="Arial"/>
          <w:b/>
          <w:sz w:val="28"/>
          <w:szCs w:val="28"/>
        </w:rPr>
        <w:t xml:space="preserve"> </w:t>
      </w:r>
    </w:p>
    <w:p w:rsidR="00C97F29" w:rsidRDefault="00092AC0" w:rsidP="00CC4684">
      <w:pPr>
        <w:jc w:val="center"/>
        <w:rPr>
          <w:rFonts w:ascii="Arial Rounded MT Bold" w:hAnsi="Arial Rounded MT Bold" w:cs="Arial"/>
          <w:b/>
          <w:sz w:val="28"/>
          <w:szCs w:val="28"/>
        </w:rPr>
      </w:pPr>
      <w:r>
        <w:rPr>
          <w:rFonts w:ascii="Arial Rounded MT Bold" w:hAnsi="Arial Rounded MT Bold" w:cs="Arial"/>
          <w:b/>
          <w:sz w:val="28"/>
          <w:szCs w:val="28"/>
        </w:rPr>
        <w:t xml:space="preserve">Conclusión de la </w:t>
      </w:r>
      <w:r w:rsidR="00A74128">
        <w:rPr>
          <w:rFonts w:ascii="Arial Rounded MT Bold" w:hAnsi="Arial Rounded MT Bold" w:cs="Arial"/>
          <w:b/>
          <w:sz w:val="28"/>
          <w:szCs w:val="28"/>
        </w:rPr>
        <w:t>Observación 2.2.</w:t>
      </w:r>
    </w:p>
    <w:p w:rsidR="00A74128" w:rsidRPr="00A74128" w:rsidRDefault="00A74128" w:rsidP="00A74128">
      <w:pPr>
        <w:jc w:val="both"/>
        <w:rPr>
          <w:rFonts w:ascii="Arial Rounded MT Bold" w:hAnsi="Arial Rounded MT Bold" w:cs="Arial"/>
          <w:b/>
          <w:color w:val="404040"/>
        </w:rPr>
      </w:pPr>
      <w:r w:rsidRPr="00A74128">
        <w:rPr>
          <w:rFonts w:ascii="Arial" w:hAnsi="Arial" w:cs="Arial"/>
        </w:rPr>
        <w:t xml:space="preserve">La Ley del Instituto Mexicano del Seguro Social, en su artículo 31 </w:t>
      </w:r>
      <w:proofErr w:type="gramStart"/>
      <w:r w:rsidRPr="00A74128">
        <w:rPr>
          <w:rFonts w:ascii="Arial" w:hAnsi="Arial" w:cs="Arial"/>
        </w:rPr>
        <w:t>fracción</w:t>
      </w:r>
      <w:proofErr w:type="gramEnd"/>
      <w:r w:rsidRPr="00A74128">
        <w:rPr>
          <w:rFonts w:ascii="Arial" w:hAnsi="Arial" w:cs="Arial"/>
        </w:rPr>
        <w:t xml:space="preserve"> I en su segundo párrafo manifiesta muy claramente lo siguiente:</w:t>
      </w:r>
    </w:p>
    <w:p w:rsidR="00A74128" w:rsidRDefault="00A74128" w:rsidP="00A74128">
      <w:pPr>
        <w:pStyle w:val="ROMANOS1"/>
        <w:spacing w:after="0" w:line="240" w:lineRule="auto"/>
        <w:ind w:left="567" w:right="567" w:firstLine="0"/>
        <w:rPr>
          <w:rFonts w:cs="Arial"/>
          <w:b/>
          <w:i/>
          <w:sz w:val="22"/>
          <w:szCs w:val="22"/>
        </w:rPr>
      </w:pPr>
      <w:r w:rsidRPr="00A74128">
        <w:rPr>
          <w:rFonts w:cs="Arial"/>
          <w:b/>
          <w:i/>
          <w:sz w:val="22"/>
          <w:szCs w:val="22"/>
        </w:rPr>
        <w:t>Si las ausencias del trabajador son por períodos de ocho días consecutivos o mayores, el patrón quedará liberado del pago de las cuotas obrero patronales, siempre y cuando proceda en los términos del artículo 37.”</w:t>
      </w:r>
    </w:p>
    <w:p w:rsidR="00A74128" w:rsidRPr="00A74128" w:rsidRDefault="00A74128" w:rsidP="00A74128">
      <w:pPr>
        <w:pStyle w:val="ROMANOS1"/>
        <w:spacing w:after="0" w:line="240" w:lineRule="auto"/>
        <w:ind w:left="567" w:right="567" w:firstLine="0"/>
        <w:rPr>
          <w:rFonts w:cs="Arial"/>
          <w:b/>
          <w:i/>
          <w:sz w:val="22"/>
          <w:szCs w:val="22"/>
        </w:rPr>
      </w:pPr>
    </w:p>
    <w:p w:rsidR="00A74128" w:rsidRPr="00A74128" w:rsidRDefault="00A74128" w:rsidP="0035550B">
      <w:pPr>
        <w:jc w:val="both"/>
        <w:rPr>
          <w:rFonts w:ascii="Arial" w:hAnsi="Arial" w:cs="Arial"/>
        </w:rPr>
      </w:pPr>
      <w:r w:rsidRPr="00A74128">
        <w:rPr>
          <w:rFonts w:ascii="Arial" w:hAnsi="Arial" w:cs="Arial"/>
        </w:rPr>
        <w:t>El caso que nos ocupa es de 2 músicos que evidentemente rebasan los 8 días consecutivos de ausencia (licencia):</w:t>
      </w:r>
    </w:p>
    <w:p w:rsidR="00A74128" w:rsidRPr="00A74128" w:rsidRDefault="00A74128" w:rsidP="00A74128">
      <w:pPr>
        <w:numPr>
          <w:ilvl w:val="0"/>
          <w:numId w:val="1"/>
        </w:numPr>
        <w:spacing w:after="0" w:line="240" w:lineRule="auto"/>
        <w:rPr>
          <w:rFonts w:ascii="Arial" w:hAnsi="Arial" w:cs="Arial"/>
        </w:rPr>
      </w:pPr>
      <w:r w:rsidRPr="00A74128">
        <w:rPr>
          <w:rFonts w:ascii="Arial" w:hAnsi="Arial" w:cs="Arial"/>
        </w:rPr>
        <w:t>Julio Adrián Serna Villalobos.- del 07 de septiembre de 2015 y hasta el 07 de septiembre de 2016</w:t>
      </w:r>
    </w:p>
    <w:p w:rsidR="00A74128" w:rsidRDefault="00A74128" w:rsidP="00A74128">
      <w:pPr>
        <w:numPr>
          <w:ilvl w:val="0"/>
          <w:numId w:val="1"/>
        </w:numPr>
        <w:spacing w:after="0" w:line="240" w:lineRule="auto"/>
        <w:rPr>
          <w:rFonts w:ascii="Arial" w:hAnsi="Arial" w:cs="Arial"/>
        </w:rPr>
      </w:pPr>
      <w:r w:rsidRPr="00A74128">
        <w:rPr>
          <w:rFonts w:ascii="Arial" w:hAnsi="Arial" w:cs="Arial"/>
        </w:rPr>
        <w:t>Pedro Simón Casasola Pineda.- del 08 de febrero de 2016 y hasta el 08 de febrero de 2017.</w:t>
      </w:r>
    </w:p>
    <w:p w:rsidR="00A74128" w:rsidRPr="00A74128" w:rsidRDefault="00A74128" w:rsidP="0035550B">
      <w:pPr>
        <w:spacing w:after="0" w:line="240" w:lineRule="auto"/>
        <w:ind w:left="390"/>
        <w:rPr>
          <w:rFonts w:ascii="Arial" w:hAnsi="Arial" w:cs="Arial"/>
        </w:rPr>
      </w:pPr>
    </w:p>
    <w:p w:rsidR="00A74128" w:rsidRPr="00A74128" w:rsidRDefault="00A74128" w:rsidP="00A74128">
      <w:pPr>
        <w:ind w:left="30"/>
        <w:jc w:val="both"/>
        <w:rPr>
          <w:rFonts w:ascii="Arial" w:hAnsi="Arial" w:cs="Arial"/>
        </w:rPr>
      </w:pPr>
      <w:r w:rsidRPr="00A74128">
        <w:rPr>
          <w:rFonts w:ascii="Arial" w:hAnsi="Arial" w:cs="Arial"/>
        </w:rPr>
        <w:t>Por lo que su Reglamento Interior de Trabajo vigente a la fecha del otorgamiento de dichas licencias no puede estar por encima de la Ley antes mencionada. Además lo que manifiesta el artículo 58 de dicho Reglamento que es el fundamento que invocan,  no indica nada  de manera específica respecto a que se les debería cubrir IMSS  e INFONAVIT en tiempo de licencias.</w:t>
      </w:r>
    </w:p>
    <w:p w:rsidR="00A74128" w:rsidRPr="00A74128" w:rsidRDefault="00A74128" w:rsidP="00A74128">
      <w:pPr>
        <w:jc w:val="both"/>
        <w:rPr>
          <w:rFonts w:ascii="Arial" w:hAnsi="Arial" w:cs="Arial"/>
          <w:i/>
        </w:rPr>
      </w:pPr>
      <w:r w:rsidRPr="00A74128">
        <w:rPr>
          <w:rFonts w:ascii="Arial" w:hAnsi="Arial" w:cs="Arial"/>
          <w:i/>
        </w:rPr>
        <w:t>Artículo 58 del Reglamento Interior de Trabajo.-  El Director Administrativo podrá previo acuerdo con el Director Artístico  conceder permisos en casos excepcionales y bajo condiciones que estime pertinentes del personal artístico.</w:t>
      </w:r>
    </w:p>
    <w:p w:rsidR="00A74128" w:rsidRDefault="00A74128" w:rsidP="00A74128">
      <w:pPr>
        <w:jc w:val="both"/>
        <w:rPr>
          <w:rFonts w:ascii="Arial" w:hAnsi="Arial" w:cs="Arial"/>
        </w:rPr>
      </w:pPr>
      <w:r w:rsidRPr="00A74128">
        <w:rPr>
          <w:rFonts w:ascii="Arial" w:hAnsi="Arial" w:cs="Arial"/>
        </w:rPr>
        <w:t>Respecto a su comentario de que los músicos no habían dejado de laborar para el Fideicomiso, sino que se encontraban en un periodo de capacitación y no con ello que concluyera o se suspendiera la relación de trabajo existente, es de aclararse que esta Contraloría sobrentiende justamente que una licencia   se trata de ausencias del trabajador a sus labores y que no requiere se l</w:t>
      </w:r>
      <w:r w:rsidR="004D726B">
        <w:rPr>
          <w:rFonts w:ascii="Arial" w:hAnsi="Arial" w:cs="Arial"/>
        </w:rPr>
        <w:t>e paguen salarios, pero subsiste</w:t>
      </w:r>
      <w:r w:rsidRPr="00A74128">
        <w:rPr>
          <w:rFonts w:ascii="Arial" w:hAnsi="Arial" w:cs="Arial"/>
        </w:rPr>
        <w:t xml:space="preserve"> la relación laboral.</w:t>
      </w:r>
    </w:p>
    <w:p w:rsidR="0035550B" w:rsidRPr="0035550B" w:rsidRDefault="0035550B" w:rsidP="0035550B">
      <w:pPr>
        <w:jc w:val="both"/>
        <w:rPr>
          <w:rFonts w:ascii="Arial" w:eastAsia="Calibri" w:hAnsi="Arial" w:cs="Arial"/>
        </w:rPr>
      </w:pPr>
      <w:r w:rsidRPr="0035550B">
        <w:rPr>
          <w:rFonts w:ascii="Arial" w:eastAsia="Calibri" w:hAnsi="Arial" w:cs="Arial"/>
        </w:rPr>
        <w:t xml:space="preserve">Deberá su Órgano Interno de Control ser el encargado de llevar a cabo el o los procedimientos correspondientes según lo indica el </w:t>
      </w:r>
      <w:r w:rsidR="00A93F8E" w:rsidRPr="0035550B">
        <w:rPr>
          <w:rFonts w:ascii="Arial" w:hAnsi="Arial" w:cs="Arial"/>
        </w:rPr>
        <w:t>artículo</w:t>
      </w:r>
      <w:r w:rsidRPr="0035550B">
        <w:rPr>
          <w:rFonts w:ascii="Arial" w:eastAsia="Calibri" w:hAnsi="Arial" w:cs="Arial"/>
        </w:rPr>
        <w:t xml:space="preserve"> 52 fracciones II, III y IV de la Ley de Responsabilidades Políticas y administrativas del Estado de Jalisco:</w:t>
      </w:r>
    </w:p>
    <w:p w:rsidR="0035550B" w:rsidRPr="0035550B" w:rsidRDefault="00A93F8E" w:rsidP="0035550B">
      <w:pPr>
        <w:jc w:val="both"/>
        <w:rPr>
          <w:rFonts w:ascii="Arial" w:eastAsia="Calibri" w:hAnsi="Arial" w:cs="Arial"/>
        </w:rPr>
      </w:pPr>
      <w:r>
        <w:rPr>
          <w:rFonts w:ascii="Arial" w:hAnsi="Arial" w:cs="Arial"/>
        </w:rPr>
        <w:t>Los Órganos Internos de C</w:t>
      </w:r>
      <w:r w:rsidR="0035550B" w:rsidRPr="0035550B">
        <w:rPr>
          <w:rFonts w:ascii="Arial" w:eastAsia="Calibri" w:hAnsi="Arial" w:cs="Arial"/>
        </w:rPr>
        <w:t>ontrol tendrán, respecto al ente público correspondiente y de conformidad con las normas y procedimientos legales aplicables, las siguientes atribuciones:</w:t>
      </w:r>
    </w:p>
    <w:p w:rsidR="0035550B" w:rsidRPr="0035550B" w:rsidRDefault="0035550B" w:rsidP="0035550B">
      <w:pPr>
        <w:jc w:val="both"/>
        <w:rPr>
          <w:rFonts w:ascii="Arial" w:eastAsia="Calibri" w:hAnsi="Arial" w:cs="Arial"/>
        </w:rPr>
      </w:pPr>
      <w:r w:rsidRPr="0035550B">
        <w:rPr>
          <w:rFonts w:ascii="Arial" w:eastAsia="Calibri" w:hAnsi="Arial" w:cs="Arial"/>
        </w:rPr>
        <w:t xml:space="preserve">II. Investigar, substanciar y calificar las faltas administrativas;  </w:t>
      </w:r>
    </w:p>
    <w:p w:rsidR="0035550B" w:rsidRPr="0035550B" w:rsidRDefault="0035550B" w:rsidP="0035550B">
      <w:pPr>
        <w:jc w:val="both"/>
        <w:rPr>
          <w:rFonts w:ascii="Arial" w:eastAsia="Calibri" w:hAnsi="Arial" w:cs="Arial"/>
        </w:rPr>
      </w:pPr>
      <w:r w:rsidRPr="0035550B">
        <w:rPr>
          <w:rFonts w:ascii="Arial" w:eastAsia="Calibri" w:hAnsi="Arial" w:cs="Arial"/>
        </w:rPr>
        <w:t>III. Resolver las faltas administrativas no graves e imponer y ejecutar las sanciones correspondientes;</w:t>
      </w:r>
    </w:p>
    <w:p w:rsidR="0035550B" w:rsidRPr="0035550B" w:rsidRDefault="0035550B" w:rsidP="0035550B">
      <w:pPr>
        <w:jc w:val="both"/>
        <w:rPr>
          <w:rFonts w:ascii="Arial" w:eastAsia="Calibri" w:hAnsi="Arial" w:cs="Arial"/>
        </w:rPr>
      </w:pPr>
      <w:r w:rsidRPr="0035550B">
        <w:rPr>
          <w:rFonts w:ascii="Arial" w:eastAsia="Calibri" w:hAnsi="Arial" w:cs="Arial"/>
        </w:rPr>
        <w:t>IV. Remitir los procedimientos sobre faltas administrativas graves, debidamente sustanciados, al Tribunal de Justicia Administrativa para su resolución.</w:t>
      </w:r>
    </w:p>
    <w:p w:rsidR="0035550B" w:rsidRPr="00A93F8E" w:rsidRDefault="0035550B" w:rsidP="0035550B">
      <w:pPr>
        <w:jc w:val="both"/>
        <w:rPr>
          <w:rFonts w:ascii="Arial" w:eastAsia="Calibri" w:hAnsi="Arial" w:cs="Arial"/>
          <w:b/>
          <w:bCs/>
          <w:sz w:val="16"/>
          <w:szCs w:val="16"/>
        </w:rPr>
      </w:pPr>
      <w:r w:rsidRPr="00A93F8E">
        <w:rPr>
          <w:rFonts w:ascii="Arial" w:eastAsia="Calibri" w:hAnsi="Arial" w:cs="Arial"/>
          <w:b/>
        </w:rPr>
        <w:t>Por lo que deberán enviar la resolución a este Órgano Estatal de Control</w:t>
      </w:r>
      <w:r w:rsidRPr="00A93F8E">
        <w:rPr>
          <w:rFonts w:ascii="Arial" w:eastAsia="Calibri" w:hAnsi="Arial" w:cs="Arial"/>
          <w:b/>
          <w:bCs/>
          <w:sz w:val="16"/>
          <w:szCs w:val="16"/>
        </w:rPr>
        <w:t>.</w:t>
      </w:r>
    </w:p>
    <w:p w:rsidR="00CC4684" w:rsidRDefault="00CC4684" w:rsidP="00A93F8E">
      <w:pPr>
        <w:rPr>
          <w:rFonts w:ascii="Arial Rounded MT Bold" w:hAnsi="Arial Rounded MT Bold" w:cs="Arial"/>
          <w:b/>
        </w:rPr>
      </w:pPr>
      <w:bookmarkStart w:id="0" w:name="_GoBack"/>
      <w:bookmarkEnd w:id="0"/>
    </w:p>
    <w:p w:rsidR="00765C2E" w:rsidRDefault="00CC4684" w:rsidP="00CC4684">
      <w:pPr>
        <w:jc w:val="center"/>
        <w:rPr>
          <w:rFonts w:ascii="Arial Rounded MT Bold" w:hAnsi="Arial Rounded MT Bold" w:cs="Arial"/>
          <w:b/>
          <w:sz w:val="28"/>
          <w:szCs w:val="28"/>
        </w:rPr>
      </w:pPr>
      <w:r w:rsidRPr="00B12C2D">
        <w:rPr>
          <w:rFonts w:ascii="Arial Rounded MT Bold" w:hAnsi="Arial Rounded MT Bold" w:cs="Arial"/>
          <w:b/>
          <w:sz w:val="28"/>
          <w:szCs w:val="28"/>
        </w:rPr>
        <w:t>ANEXO  “</w:t>
      </w:r>
      <w:r w:rsidR="00765C2E">
        <w:rPr>
          <w:rFonts w:ascii="Arial Rounded MT Bold" w:hAnsi="Arial Rounded MT Bold" w:cs="Arial"/>
          <w:b/>
          <w:sz w:val="28"/>
          <w:szCs w:val="28"/>
        </w:rPr>
        <w:t>BB</w:t>
      </w:r>
      <w:r w:rsidRPr="00B12C2D">
        <w:rPr>
          <w:rFonts w:ascii="Arial Rounded MT Bold" w:hAnsi="Arial Rounded MT Bold" w:cs="Arial"/>
          <w:b/>
          <w:sz w:val="28"/>
          <w:szCs w:val="28"/>
        </w:rPr>
        <w:t>”</w:t>
      </w:r>
      <w:r>
        <w:rPr>
          <w:rFonts w:ascii="Arial Rounded MT Bold" w:hAnsi="Arial Rounded MT Bold" w:cs="Arial"/>
          <w:b/>
          <w:sz w:val="28"/>
          <w:szCs w:val="28"/>
        </w:rPr>
        <w:t xml:space="preserve"> </w:t>
      </w:r>
    </w:p>
    <w:p w:rsidR="00CC4684" w:rsidRDefault="00092AC0" w:rsidP="00CC4684">
      <w:pPr>
        <w:jc w:val="center"/>
        <w:rPr>
          <w:rFonts w:ascii="Arial Rounded MT Bold" w:hAnsi="Arial Rounded MT Bold" w:cs="Arial"/>
          <w:b/>
          <w:sz w:val="28"/>
          <w:szCs w:val="28"/>
        </w:rPr>
      </w:pPr>
      <w:r>
        <w:rPr>
          <w:rFonts w:ascii="Arial Rounded MT Bold" w:hAnsi="Arial Rounded MT Bold" w:cs="Arial"/>
          <w:b/>
          <w:sz w:val="28"/>
          <w:szCs w:val="28"/>
        </w:rPr>
        <w:t xml:space="preserve">Conclusión de la </w:t>
      </w:r>
      <w:r w:rsidR="00CC4684">
        <w:rPr>
          <w:rFonts w:ascii="Arial Rounded MT Bold" w:hAnsi="Arial Rounded MT Bold" w:cs="Arial"/>
          <w:b/>
          <w:sz w:val="28"/>
          <w:szCs w:val="28"/>
        </w:rPr>
        <w:t>Observación 2.8.</w:t>
      </w:r>
    </w:p>
    <w:p w:rsidR="009527B5" w:rsidRPr="0035550B" w:rsidRDefault="00CC4684" w:rsidP="009527B5">
      <w:pPr>
        <w:jc w:val="both"/>
        <w:rPr>
          <w:rFonts w:ascii="Arial" w:eastAsia="Calibri" w:hAnsi="Arial" w:cs="Arial"/>
        </w:rPr>
      </w:pPr>
      <w:r>
        <w:rPr>
          <w:rFonts w:ascii="Arial" w:hAnsi="Arial" w:cs="Arial"/>
          <w:bCs/>
          <w:sz w:val="24"/>
          <w:szCs w:val="24"/>
        </w:rPr>
        <w:t>Se remitió información complementaria con la cual muestran el contrato de prestación de servicios del músico extra</w:t>
      </w:r>
      <w:r w:rsidR="009527B5">
        <w:rPr>
          <w:rFonts w:ascii="Arial" w:hAnsi="Arial" w:cs="Arial"/>
          <w:bCs/>
          <w:sz w:val="24"/>
          <w:szCs w:val="24"/>
        </w:rPr>
        <w:t xml:space="preserve"> </w:t>
      </w:r>
      <w:r w:rsidR="009527B5">
        <w:rPr>
          <w:rFonts w:ascii="Arial" w:hAnsi="Arial" w:cs="Arial"/>
          <w:sz w:val="24"/>
          <w:szCs w:val="24"/>
        </w:rPr>
        <w:t>José Gustavo Ortiz López</w:t>
      </w:r>
      <w:r>
        <w:rPr>
          <w:rFonts w:ascii="Arial" w:hAnsi="Arial" w:cs="Arial"/>
          <w:bCs/>
          <w:sz w:val="24"/>
          <w:szCs w:val="24"/>
        </w:rPr>
        <w:t xml:space="preserve">, sin embargo no se </w:t>
      </w:r>
      <w:r w:rsidR="009527B5">
        <w:rPr>
          <w:rFonts w:ascii="Arial" w:hAnsi="Arial" w:cs="Arial"/>
          <w:bCs/>
          <w:sz w:val="24"/>
          <w:szCs w:val="24"/>
        </w:rPr>
        <w:t>exhibió</w:t>
      </w:r>
      <w:r>
        <w:rPr>
          <w:rFonts w:ascii="Arial" w:hAnsi="Arial" w:cs="Arial"/>
          <w:bCs/>
          <w:sz w:val="24"/>
          <w:szCs w:val="24"/>
        </w:rPr>
        <w:t xml:space="preserve"> la factura fiscal que avale el pago de honorarios </w:t>
      </w:r>
      <w:r w:rsidR="009527B5">
        <w:rPr>
          <w:rFonts w:ascii="Arial" w:hAnsi="Arial" w:cs="Arial"/>
          <w:bCs/>
          <w:sz w:val="24"/>
          <w:szCs w:val="24"/>
        </w:rPr>
        <w:t xml:space="preserve">por el servicio realizado, </w:t>
      </w:r>
      <w:r w:rsidR="009527B5" w:rsidRPr="004321C8">
        <w:rPr>
          <w:rFonts w:ascii="Arial" w:hAnsi="Arial" w:cs="Arial"/>
          <w:sz w:val="24"/>
          <w:szCs w:val="24"/>
        </w:rPr>
        <w:t xml:space="preserve">contraviniendo a lo vertido en </w:t>
      </w:r>
      <w:r w:rsidR="009527B5">
        <w:rPr>
          <w:rFonts w:ascii="Arial" w:hAnsi="Arial" w:cs="Arial"/>
          <w:sz w:val="24"/>
          <w:szCs w:val="24"/>
        </w:rPr>
        <w:t>la</w:t>
      </w:r>
      <w:r w:rsidR="009527B5" w:rsidRPr="004321C8">
        <w:rPr>
          <w:rFonts w:ascii="Arial" w:hAnsi="Arial" w:cs="Arial"/>
          <w:sz w:val="24"/>
          <w:szCs w:val="24"/>
        </w:rPr>
        <w:t xml:space="preserve"> fracción II del artículo 86 de la Ley del Impuesto Sobre la Renta</w:t>
      </w:r>
      <w:r w:rsidR="009527B5">
        <w:rPr>
          <w:rFonts w:ascii="Arial" w:hAnsi="Arial" w:cs="Arial"/>
          <w:sz w:val="24"/>
          <w:szCs w:val="24"/>
        </w:rPr>
        <w:t xml:space="preserve">, </w:t>
      </w:r>
      <w:r w:rsidR="009527B5">
        <w:rPr>
          <w:rFonts w:ascii="Arial" w:eastAsia="Calibri" w:hAnsi="Arial" w:cs="Arial"/>
        </w:rPr>
        <w:t>d</w:t>
      </w:r>
      <w:r w:rsidR="009527B5" w:rsidRPr="0035550B">
        <w:rPr>
          <w:rFonts w:ascii="Arial" w:eastAsia="Calibri" w:hAnsi="Arial" w:cs="Arial"/>
        </w:rPr>
        <w:t xml:space="preserve">eberá su Órgano Interno de Control ser el encargado de llevar a cabo el o los procedimientos correspondientes según lo indica el </w:t>
      </w:r>
      <w:r w:rsidR="009527B5" w:rsidRPr="0035550B">
        <w:rPr>
          <w:rFonts w:ascii="Arial" w:hAnsi="Arial" w:cs="Arial"/>
        </w:rPr>
        <w:t>artículo</w:t>
      </w:r>
      <w:r w:rsidR="009527B5" w:rsidRPr="0035550B">
        <w:rPr>
          <w:rFonts w:ascii="Arial" w:eastAsia="Calibri" w:hAnsi="Arial" w:cs="Arial"/>
        </w:rPr>
        <w:t xml:space="preserve"> 52 fracciones II, III y IV de la Ley de Responsabilidades Políticas y administrativas del Estado de Jalisco:</w:t>
      </w:r>
    </w:p>
    <w:p w:rsidR="009527B5" w:rsidRPr="0035550B" w:rsidRDefault="009527B5" w:rsidP="009527B5">
      <w:pPr>
        <w:jc w:val="both"/>
        <w:rPr>
          <w:rFonts w:ascii="Arial" w:eastAsia="Calibri" w:hAnsi="Arial" w:cs="Arial"/>
        </w:rPr>
      </w:pPr>
      <w:r>
        <w:rPr>
          <w:rFonts w:ascii="Arial" w:hAnsi="Arial" w:cs="Arial"/>
        </w:rPr>
        <w:t>Los Órganos Internos de C</w:t>
      </w:r>
      <w:r w:rsidRPr="0035550B">
        <w:rPr>
          <w:rFonts w:ascii="Arial" w:eastAsia="Calibri" w:hAnsi="Arial" w:cs="Arial"/>
        </w:rPr>
        <w:t>ontrol tendrán, respecto al ente público correspondiente y de conformidad con las normas y procedimientos legales aplicables, las siguientes atribuciones:</w:t>
      </w:r>
    </w:p>
    <w:p w:rsidR="009527B5" w:rsidRPr="0035550B" w:rsidRDefault="009527B5" w:rsidP="009527B5">
      <w:pPr>
        <w:jc w:val="both"/>
        <w:rPr>
          <w:rFonts w:ascii="Arial" w:eastAsia="Calibri" w:hAnsi="Arial" w:cs="Arial"/>
        </w:rPr>
      </w:pPr>
      <w:r w:rsidRPr="0035550B">
        <w:rPr>
          <w:rFonts w:ascii="Arial" w:eastAsia="Calibri" w:hAnsi="Arial" w:cs="Arial"/>
        </w:rPr>
        <w:t xml:space="preserve">II. Investigar, substanciar y calificar las faltas administrativas;  </w:t>
      </w:r>
    </w:p>
    <w:p w:rsidR="009527B5" w:rsidRPr="0035550B" w:rsidRDefault="009527B5" w:rsidP="009527B5">
      <w:pPr>
        <w:jc w:val="both"/>
        <w:rPr>
          <w:rFonts w:ascii="Arial" w:eastAsia="Calibri" w:hAnsi="Arial" w:cs="Arial"/>
        </w:rPr>
      </w:pPr>
      <w:r w:rsidRPr="0035550B">
        <w:rPr>
          <w:rFonts w:ascii="Arial" w:eastAsia="Calibri" w:hAnsi="Arial" w:cs="Arial"/>
        </w:rPr>
        <w:t>III. Resolver las faltas administrativas no graves e imponer y ejecutar las sanciones correspondientes;</w:t>
      </w:r>
    </w:p>
    <w:p w:rsidR="009527B5" w:rsidRPr="0035550B" w:rsidRDefault="009527B5" w:rsidP="009527B5">
      <w:pPr>
        <w:jc w:val="both"/>
        <w:rPr>
          <w:rFonts w:ascii="Arial" w:eastAsia="Calibri" w:hAnsi="Arial" w:cs="Arial"/>
        </w:rPr>
      </w:pPr>
      <w:r w:rsidRPr="0035550B">
        <w:rPr>
          <w:rFonts w:ascii="Arial" w:eastAsia="Calibri" w:hAnsi="Arial" w:cs="Arial"/>
        </w:rPr>
        <w:t>IV. Remitir los procedimientos sobre faltas administrativas graves, debidamente sustanciados, al Tribunal de Justicia Administrativa para su resolución.</w:t>
      </w:r>
    </w:p>
    <w:p w:rsidR="009527B5" w:rsidRPr="00A93F8E" w:rsidRDefault="009527B5" w:rsidP="009527B5">
      <w:pPr>
        <w:jc w:val="both"/>
        <w:rPr>
          <w:rFonts w:ascii="Arial" w:eastAsia="Calibri" w:hAnsi="Arial" w:cs="Arial"/>
          <w:b/>
          <w:bCs/>
          <w:sz w:val="16"/>
          <w:szCs w:val="16"/>
        </w:rPr>
      </w:pPr>
      <w:r w:rsidRPr="00A93F8E">
        <w:rPr>
          <w:rFonts w:ascii="Arial" w:eastAsia="Calibri" w:hAnsi="Arial" w:cs="Arial"/>
          <w:b/>
        </w:rPr>
        <w:t>Por lo que deberán enviar la resolución a este Órgano Estatal de Control</w:t>
      </w:r>
      <w:r w:rsidRPr="00A93F8E">
        <w:rPr>
          <w:rFonts w:ascii="Arial" w:eastAsia="Calibri" w:hAnsi="Arial" w:cs="Arial"/>
          <w:b/>
          <w:bCs/>
          <w:sz w:val="16"/>
          <w:szCs w:val="16"/>
        </w:rPr>
        <w:t>.</w:t>
      </w:r>
    </w:p>
    <w:p w:rsidR="00CC4684" w:rsidRDefault="00CC4684" w:rsidP="009527B5">
      <w:pPr>
        <w:ind w:right="49"/>
        <w:rPr>
          <w:rFonts w:ascii="Arial Rounded MT Bold" w:hAnsi="Arial Rounded MT Bold" w:cs="Estrangelo Edessa"/>
          <w:b/>
          <w:color w:val="000000"/>
          <w:sz w:val="28"/>
          <w:szCs w:val="28"/>
        </w:rPr>
      </w:pPr>
    </w:p>
    <w:p w:rsidR="00CC4684" w:rsidRDefault="00CC4684" w:rsidP="00A93F8E">
      <w:pPr>
        <w:rPr>
          <w:rFonts w:ascii="Arial Rounded MT Bold" w:hAnsi="Arial Rounded MT Bold" w:cs="Arial"/>
          <w:b/>
        </w:rPr>
      </w:pPr>
    </w:p>
    <w:p w:rsidR="009527B5" w:rsidRDefault="009527B5" w:rsidP="00A93F8E">
      <w:pPr>
        <w:rPr>
          <w:rFonts w:ascii="Arial Rounded MT Bold" w:hAnsi="Arial Rounded MT Bold" w:cs="Arial"/>
          <w:b/>
        </w:rPr>
      </w:pPr>
    </w:p>
    <w:p w:rsidR="009527B5" w:rsidRPr="00A74128" w:rsidRDefault="009527B5" w:rsidP="00A93F8E">
      <w:pPr>
        <w:rPr>
          <w:rFonts w:ascii="Arial Rounded MT Bold" w:hAnsi="Arial Rounded MT Bold" w:cs="Arial"/>
          <w:b/>
        </w:rPr>
      </w:pPr>
    </w:p>
    <w:sectPr w:rsidR="009527B5" w:rsidRPr="00A74128" w:rsidSect="001E1583">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49D" w:rsidRDefault="00F7549D" w:rsidP="001E1583">
      <w:pPr>
        <w:spacing w:after="0" w:line="240" w:lineRule="auto"/>
      </w:pPr>
      <w:r>
        <w:separator/>
      </w:r>
    </w:p>
  </w:endnote>
  <w:endnote w:type="continuationSeparator" w:id="0">
    <w:p w:rsidR="00F7549D" w:rsidRDefault="00F7549D"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utiger-Light">
    <w:altName w:val="Cambria Math"/>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49D" w:rsidRDefault="00F7549D" w:rsidP="001E1583">
      <w:pPr>
        <w:spacing w:after="0" w:line="240" w:lineRule="auto"/>
      </w:pPr>
      <w:r>
        <w:separator/>
      </w:r>
    </w:p>
  </w:footnote>
  <w:footnote w:type="continuationSeparator" w:id="0">
    <w:p w:rsidR="00F7549D" w:rsidRDefault="00F7549D"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03" w:rsidRDefault="00792503" w:rsidP="001E1583">
    <w:pPr>
      <w:pStyle w:val="Encabezado"/>
      <w:tabs>
        <w:tab w:val="clear" w:pos="4419"/>
        <w:tab w:val="clear" w:pos="8838"/>
        <w:tab w:val="left" w:pos="6165"/>
      </w:tabs>
      <w:jc w:val="right"/>
      <w:rPr>
        <w:rFonts w:ascii="Arial" w:hAnsi="Arial" w:cs="Arial"/>
        <w:b/>
        <w:w w:val="200"/>
      </w:rPr>
    </w:pPr>
    <w:r w:rsidRPr="0002416F">
      <w:rPr>
        <w:rFonts w:ascii="Arial" w:hAnsi="Arial" w:cs="Arial"/>
        <w:b/>
        <w:w w:val="200"/>
      </w:rPr>
      <w:t>Anexo Of. DGP/</w:t>
    </w:r>
    <w:r>
      <w:rPr>
        <w:rFonts w:ascii="Arial" w:hAnsi="Arial" w:cs="Arial"/>
        <w:b/>
        <w:w w:val="200"/>
      </w:rPr>
      <w:t>4174/18</w:t>
    </w:r>
  </w:p>
  <w:p w:rsidR="00792503" w:rsidRDefault="00792503" w:rsidP="001E1583">
    <w:pPr>
      <w:pStyle w:val="Encabezado"/>
      <w:tabs>
        <w:tab w:val="clear" w:pos="4419"/>
        <w:tab w:val="clear" w:pos="8838"/>
        <w:tab w:val="left" w:pos="6165"/>
      </w:tabs>
      <w:jc w:val="right"/>
    </w:pP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anchor>
      </w:drawing>
    </w:r>
    <w:r>
      <w:tab/>
    </w:r>
    <w:r>
      <w:rPr>
        <w:rFonts w:ascii="Frutiger-Light" w:hAnsi="Frutiger-Light" w:cs="Frutiger-Light"/>
        <w:noProof/>
        <w:color w:val="333333"/>
        <w:lang w:eastAsia="es-MX"/>
      </w:rPr>
      <w:drawing>
        <wp:inline distT="0" distB="0" distL="0" distR="0">
          <wp:extent cx="2742454"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2" cstate="print"/>
                  <a:srcRect/>
                  <a:stretch>
                    <a:fillRect/>
                  </a:stretch>
                </pic:blipFill>
                <pic:spPr bwMode="auto">
                  <a:xfrm>
                    <a:off x="0" y="0"/>
                    <a:ext cx="2743047" cy="582930"/>
                  </a:xfrm>
                  <a:prstGeom prst="rect">
                    <a:avLst/>
                  </a:prstGeom>
                  <a:noFill/>
                  <a:ln w="9525">
                    <a:noFill/>
                    <a:miter lim="800000"/>
                    <a:headEnd/>
                    <a:tailEnd/>
                  </a:ln>
                </pic:spPr>
              </pic:pic>
            </a:graphicData>
          </a:graphic>
        </wp:inline>
      </w:drawing>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AF2C5C" w:rsidP="001E1583">
    <w:pPr>
      <w:jc w:val="center"/>
      <w:rPr>
        <w:rFonts w:ascii="Arial Rounded MT Bold" w:eastAsia="Arial Unicode MS" w:hAnsi="Arial Rounded MT Bold" w:cs="Arial"/>
        <w:sz w:val="28"/>
        <w:szCs w:val="28"/>
        <w:lang w:val="es-ES_tradnl"/>
      </w:rPr>
    </w:pPr>
    <w:r w:rsidRPr="00AF2C5C">
      <w:rPr>
        <w:rFonts w:ascii="Arial Rounded MT Bold" w:eastAsia="Arial Unicode MS" w:hAnsi="Arial Rounded MT Bold" w:cs="Arial"/>
        <w:sz w:val="28"/>
        <w:szCs w:val="28"/>
      </w:rPr>
      <w:t>Fideicomiso Orquesta Filarmónica de Jalisco</w:t>
    </w:r>
  </w:p>
  <w:p w:rsidR="001E1583" w:rsidRDefault="00AF2C5C" w:rsidP="001E1583">
    <w:pPr>
      <w:jc w:val="center"/>
      <w:rPr>
        <w:rFonts w:ascii="Arial Rounded MT Bold" w:hAnsi="Arial Rounded MT Bold" w:cs="Arial"/>
        <w:sz w:val="20"/>
        <w:szCs w:val="20"/>
        <w:lang w:val="es-ES_tradnl"/>
      </w:rPr>
    </w:pPr>
    <w:r>
      <w:rPr>
        <w:rFonts w:ascii="Arial Rounded MT Bold" w:hAnsi="Arial Rounded MT Bold" w:cs="Arial"/>
        <w:sz w:val="20"/>
        <w:szCs w:val="20"/>
        <w:lang w:val="es-ES_tradnl"/>
      </w:rPr>
      <w:t>Auditoria del 01 de enero al 30</w:t>
    </w:r>
    <w:r w:rsidR="001E1583">
      <w:rPr>
        <w:rFonts w:ascii="Arial Rounded MT Bold" w:hAnsi="Arial Rounded MT Bold" w:cs="Arial"/>
        <w:sz w:val="20"/>
        <w:szCs w:val="20"/>
        <w:lang w:val="es-ES_tradnl"/>
      </w:rPr>
      <w:t xml:space="preserve"> de </w:t>
    </w:r>
    <w:r>
      <w:rPr>
        <w:rFonts w:ascii="Arial Rounded MT Bold" w:hAnsi="Arial Rounded MT Bold" w:cs="Arial"/>
        <w:sz w:val="20"/>
        <w:szCs w:val="20"/>
        <w:lang w:val="es-ES_tradnl"/>
      </w:rPr>
      <w:t>septiembre</w:t>
    </w:r>
    <w:r w:rsidR="00DB0A5F">
      <w:rPr>
        <w:rFonts w:ascii="Arial Rounded MT Bold" w:hAnsi="Arial Rounded MT Bold" w:cs="Arial"/>
        <w:sz w:val="20"/>
        <w:szCs w:val="20"/>
        <w:lang w:val="es-ES_tradnl"/>
      </w:rPr>
      <w:t xml:space="preserve"> </w:t>
    </w:r>
    <w:r>
      <w:rPr>
        <w:rFonts w:ascii="Arial Rounded MT Bold" w:hAnsi="Arial Rounded MT Bold" w:cs="Arial"/>
        <w:sz w:val="20"/>
        <w:szCs w:val="20"/>
        <w:lang w:val="es-ES_tradnl"/>
      </w:rPr>
      <w:t xml:space="preserve">del 2016 </w:t>
    </w:r>
  </w:p>
  <w:p w:rsidR="00C05D9B" w:rsidRPr="001354B6" w:rsidRDefault="00A74128" w:rsidP="001E1583">
    <w:pPr>
      <w:jc w:val="center"/>
      <w:rPr>
        <w:rFonts w:ascii="Arial Rounded MT Bold" w:hAnsi="Arial Rounded MT Bold" w:cs="Arial"/>
        <w:sz w:val="20"/>
        <w:szCs w:val="20"/>
      </w:rPr>
    </w:pPr>
    <w:r>
      <w:rPr>
        <w:rFonts w:ascii="Arial Rounded MT Bold" w:hAnsi="Arial Rounded MT Bold" w:cs="Arial"/>
        <w:sz w:val="20"/>
        <w:szCs w:val="20"/>
        <w:lang w:val="es-ES_tradnl"/>
      </w:rPr>
      <w:t>Conclusiones Contraloría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0D50"/>
    <w:multiLevelType w:val="hybridMultilevel"/>
    <w:tmpl w:val="15DC040A"/>
    <w:lvl w:ilvl="0" w:tplc="88FC98D2">
      <w:start w:val="2"/>
      <w:numFmt w:val="bullet"/>
      <w:lvlText w:val="-"/>
      <w:lvlJc w:val="left"/>
      <w:pPr>
        <w:ind w:left="390" w:hanging="360"/>
      </w:pPr>
      <w:rPr>
        <w:rFonts w:ascii="Arial" w:eastAsia="Times New Roman" w:hAnsi="Arial"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83"/>
    <w:rsid w:val="00092AC0"/>
    <w:rsid w:val="00110CEE"/>
    <w:rsid w:val="00167B22"/>
    <w:rsid w:val="001E1583"/>
    <w:rsid w:val="00293A48"/>
    <w:rsid w:val="002A33CC"/>
    <w:rsid w:val="00326A94"/>
    <w:rsid w:val="0035550B"/>
    <w:rsid w:val="003A23E7"/>
    <w:rsid w:val="004674A6"/>
    <w:rsid w:val="004A5C18"/>
    <w:rsid w:val="004D726B"/>
    <w:rsid w:val="00512155"/>
    <w:rsid w:val="00765C2E"/>
    <w:rsid w:val="00792503"/>
    <w:rsid w:val="009527B5"/>
    <w:rsid w:val="009562B5"/>
    <w:rsid w:val="00A124D7"/>
    <w:rsid w:val="00A74128"/>
    <w:rsid w:val="00A93F8E"/>
    <w:rsid w:val="00AF1C30"/>
    <w:rsid w:val="00AF2C5C"/>
    <w:rsid w:val="00B3423F"/>
    <w:rsid w:val="00B94552"/>
    <w:rsid w:val="00C05D9B"/>
    <w:rsid w:val="00C97F29"/>
    <w:rsid w:val="00CC4684"/>
    <w:rsid w:val="00CD0BB7"/>
    <w:rsid w:val="00D72F68"/>
    <w:rsid w:val="00D7343D"/>
    <w:rsid w:val="00DA51A3"/>
    <w:rsid w:val="00DB0A5F"/>
    <w:rsid w:val="00DE6D94"/>
    <w:rsid w:val="00EE15A7"/>
    <w:rsid w:val="00F4139D"/>
    <w:rsid w:val="00F7549D"/>
    <w:rsid w:val="00F93B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524F86-989E-4206-B2CB-B944E6C4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paragraph" w:customStyle="1" w:styleId="ROMANOS1">
    <w:name w:val="ROMANOS1"/>
    <w:basedOn w:val="Normal"/>
    <w:rsid w:val="00A74128"/>
    <w:pPr>
      <w:tabs>
        <w:tab w:val="left" w:pos="990"/>
      </w:tabs>
      <w:spacing w:after="101" w:line="216" w:lineRule="atLeast"/>
      <w:ind w:left="990" w:hanging="720"/>
      <w:jc w:val="both"/>
    </w:pPr>
    <w:rPr>
      <w:rFonts w:ascii="Arial" w:eastAsia="Times New Roman" w:hAnsi="Arial"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Angelica Jimenez</cp:lastModifiedBy>
  <cp:revision>2</cp:revision>
  <cp:lastPrinted>2018-10-08T16:23:00Z</cp:lastPrinted>
  <dcterms:created xsi:type="dcterms:W3CDTF">2018-11-27T17:48:00Z</dcterms:created>
  <dcterms:modified xsi:type="dcterms:W3CDTF">2018-11-27T17:48:00Z</dcterms:modified>
</cp:coreProperties>
</file>