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5D4" w:rsidRDefault="003775D4" w:rsidP="0035215E">
      <w:pPr>
        <w:jc w:val="center"/>
        <w:rPr>
          <w:rFonts w:ascii="Arial" w:hAnsi="Arial" w:cs="Arial"/>
          <w:b/>
          <w:sz w:val="24"/>
          <w:szCs w:val="24"/>
        </w:rPr>
      </w:pPr>
      <w:bookmarkStart w:id="0" w:name="_GoBack"/>
      <w:bookmarkEnd w:id="0"/>
    </w:p>
    <w:p w:rsidR="0035215E" w:rsidRDefault="0035215E" w:rsidP="0035215E">
      <w:pPr>
        <w:jc w:val="center"/>
        <w:rPr>
          <w:rFonts w:ascii="Arial" w:hAnsi="Arial" w:cs="Arial"/>
          <w:b/>
          <w:sz w:val="24"/>
          <w:szCs w:val="24"/>
        </w:rPr>
      </w:pPr>
      <w:r w:rsidRPr="0035215E">
        <w:rPr>
          <w:rFonts w:ascii="Arial" w:hAnsi="Arial" w:cs="Arial"/>
          <w:b/>
          <w:sz w:val="24"/>
          <w:szCs w:val="24"/>
        </w:rPr>
        <w:t>ANEXO    1</w:t>
      </w:r>
    </w:p>
    <w:p w:rsidR="003775D4" w:rsidRDefault="003775D4" w:rsidP="003775D4">
      <w:pPr>
        <w:rPr>
          <w:rFonts w:ascii="Arial" w:hAnsi="Arial" w:cs="Arial"/>
          <w:b/>
          <w:sz w:val="24"/>
          <w:szCs w:val="24"/>
        </w:rPr>
      </w:pPr>
      <w:r>
        <w:rPr>
          <w:rFonts w:ascii="Arial" w:hAnsi="Arial" w:cs="Arial"/>
          <w:b/>
          <w:sz w:val="24"/>
          <w:szCs w:val="24"/>
        </w:rPr>
        <w:t>Respuesta a Observación 5.</w:t>
      </w:r>
      <w:r w:rsidR="00C90A85">
        <w:rPr>
          <w:rFonts w:ascii="Arial" w:hAnsi="Arial" w:cs="Arial"/>
          <w:b/>
          <w:sz w:val="24"/>
          <w:szCs w:val="24"/>
        </w:rPr>
        <w:t>1</w:t>
      </w:r>
      <w:r>
        <w:rPr>
          <w:rFonts w:ascii="Arial" w:hAnsi="Arial" w:cs="Arial"/>
          <w:b/>
          <w:sz w:val="24"/>
          <w:szCs w:val="24"/>
        </w:rPr>
        <w:t xml:space="preserve">. </w:t>
      </w:r>
    </w:p>
    <w:p w:rsidR="00261667" w:rsidRPr="00261667" w:rsidRDefault="00261667" w:rsidP="00261667">
      <w:pPr>
        <w:jc w:val="both"/>
        <w:rPr>
          <w:rFonts w:ascii="Arial" w:hAnsi="Arial" w:cs="Arial"/>
          <w:sz w:val="20"/>
          <w:szCs w:val="20"/>
        </w:rPr>
      </w:pPr>
      <w:r w:rsidRPr="00261667">
        <w:rPr>
          <w:rFonts w:ascii="Arial" w:hAnsi="Arial" w:cs="Arial"/>
          <w:b/>
          <w:sz w:val="20"/>
          <w:szCs w:val="20"/>
        </w:rPr>
        <w:t xml:space="preserve">Amatitan.- </w:t>
      </w:r>
      <w:r w:rsidRPr="00261667">
        <w:rPr>
          <w:rFonts w:ascii="Arial" w:hAnsi="Arial" w:cs="Arial"/>
          <w:sz w:val="20"/>
          <w:szCs w:val="20"/>
        </w:rPr>
        <w:t>La diferencia de $27,250.00, es debido a que en facturación por un problema en el reporte de las notas de crédito aparece en “0”, pero en la nota de crédito aparece con cantidad de $27,250.00, mismo que se ingresa en contabilidad el día 10/10/2016 con p.d. 621.</w:t>
      </w:r>
    </w:p>
    <w:p w:rsidR="004128DC" w:rsidRPr="00261667" w:rsidRDefault="00261667" w:rsidP="00261667">
      <w:pPr>
        <w:jc w:val="both"/>
        <w:rPr>
          <w:rFonts w:ascii="Arial" w:hAnsi="Arial" w:cs="Arial"/>
          <w:sz w:val="20"/>
          <w:szCs w:val="20"/>
        </w:rPr>
      </w:pPr>
      <w:r w:rsidRPr="00261667">
        <w:rPr>
          <w:rFonts w:ascii="Arial" w:hAnsi="Arial" w:cs="Arial"/>
          <w:b/>
          <w:sz w:val="20"/>
          <w:szCs w:val="20"/>
        </w:rPr>
        <w:t>Autlán   y   Cihuatlan</w:t>
      </w:r>
      <w:r w:rsidRPr="00261667">
        <w:rPr>
          <w:rFonts w:ascii="Arial" w:hAnsi="Arial" w:cs="Arial"/>
          <w:sz w:val="20"/>
          <w:szCs w:val="20"/>
        </w:rPr>
        <w:t>.-   En   el   sistema   de   facturación   se   realiza   por   igual   en   la   empresa denominada  “Autlán”  por  tener  acción  móvil  Cihuatlan,  esto  se  tiene  desde  que  se  apertura  la empresa en el sistema Contpaq i Facturación.</w:t>
      </w:r>
    </w:p>
    <w:p w:rsidR="00261667" w:rsidRPr="00261667" w:rsidRDefault="00261667" w:rsidP="00261667">
      <w:pPr>
        <w:jc w:val="both"/>
        <w:rPr>
          <w:rFonts w:ascii="Arial" w:hAnsi="Arial" w:cs="Arial"/>
          <w:sz w:val="20"/>
          <w:szCs w:val="20"/>
        </w:rPr>
      </w:pPr>
      <w:r w:rsidRPr="00261667">
        <w:rPr>
          <w:rFonts w:ascii="Arial" w:hAnsi="Arial" w:cs="Arial"/>
          <w:b/>
          <w:sz w:val="20"/>
          <w:szCs w:val="20"/>
        </w:rPr>
        <w:t xml:space="preserve">Chapala.-  </w:t>
      </w:r>
      <w:r w:rsidRPr="00261667">
        <w:rPr>
          <w:rFonts w:ascii="Arial" w:hAnsi="Arial" w:cs="Arial"/>
          <w:sz w:val="20"/>
          <w:szCs w:val="20"/>
        </w:rPr>
        <w:t>Facturados  da  la  cantidad  de  $333,302.00,  menos  $1,500.00  de  notas  de  crédito dando una cantidad de $331,802.00, realmente facturados., en el sistema de contabilidad se tiene la cantidad de $333,302.00., y además una nota de crédito en p.d. 580 del 29/09/16 que se carga el  importe  de  $1,500.00  en  la  cuenta  41730-71105  (examen  Rocco)  para  que  así  ingresado  en contabilidad sea por  $331,802.00</w:t>
      </w:r>
    </w:p>
    <w:p w:rsidR="004128DC" w:rsidRPr="00261667" w:rsidRDefault="00261667" w:rsidP="00261667">
      <w:pPr>
        <w:jc w:val="both"/>
        <w:rPr>
          <w:rFonts w:ascii="Arial" w:hAnsi="Arial" w:cs="Arial"/>
          <w:sz w:val="20"/>
          <w:szCs w:val="20"/>
        </w:rPr>
      </w:pPr>
      <w:r w:rsidRPr="00261667">
        <w:rPr>
          <w:rFonts w:ascii="Arial" w:hAnsi="Arial" w:cs="Arial"/>
          <w:b/>
          <w:sz w:val="20"/>
          <w:szCs w:val="20"/>
        </w:rPr>
        <w:t xml:space="preserve">Huejuquilla.-  </w:t>
      </w:r>
      <w:r w:rsidRPr="00261667">
        <w:rPr>
          <w:rFonts w:ascii="Arial" w:hAnsi="Arial" w:cs="Arial"/>
          <w:sz w:val="20"/>
          <w:szCs w:val="20"/>
        </w:rPr>
        <w:t>Facturados  $438,409.37  y  lo  que  está  en  el  sistema  de  contabilidad  es  por  la cantidad de $438,409.37, no se encuentra diferencia.</w:t>
      </w:r>
    </w:p>
    <w:p w:rsidR="004128DC" w:rsidRPr="00261667" w:rsidRDefault="00261667" w:rsidP="00261667">
      <w:pPr>
        <w:jc w:val="both"/>
        <w:rPr>
          <w:rFonts w:ascii="Arial" w:hAnsi="Arial" w:cs="Arial"/>
          <w:sz w:val="20"/>
          <w:szCs w:val="20"/>
        </w:rPr>
      </w:pPr>
      <w:r w:rsidRPr="00261667">
        <w:rPr>
          <w:rFonts w:ascii="Arial" w:hAnsi="Arial" w:cs="Arial"/>
          <w:b/>
          <w:sz w:val="20"/>
          <w:szCs w:val="20"/>
        </w:rPr>
        <w:t>Lagos de Moreno</w:t>
      </w:r>
      <w:r w:rsidRPr="00261667">
        <w:rPr>
          <w:rFonts w:ascii="Arial" w:hAnsi="Arial" w:cs="Arial"/>
          <w:sz w:val="20"/>
          <w:szCs w:val="20"/>
        </w:rPr>
        <w:t>.- En el auxiliar de constancias por estudio tengo un saldo de $840.00, pero en el informe de Contraloría se tiene la cantidad de $940.00, siendo una diferencia de $100.00, facturado se tiene la cantidad de $1´543,430.00, y lo contabilizado $1’543,430.00</w:t>
      </w:r>
    </w:p>
    <w:p w:rsidR="004128DC" w:rsidRPr="00261667" w:rsidRDefault="00261667" w:rsidP="00261667">
      <w:pPr>
        <w:jc w:val="both"/>
        <w:rPr>
          <w:rFonts w:ascii="Arial" w:hAnsi="Arial" w:cs="Arial"/>
          <w:sz w:val="20"/>
          <w:szCs w:val="20"/>
        </w:rPr>
      </w:pPr>
      <w:r w:rsidRPr="00261667">
        <w:rPr>
          <w:rFonts w:ascii="Arial" w:hAnsi="Arial" w:cs="Arial"/>
          <w:b/>
          <w:sz w:val="20"/>
          <w:szCs w:val="20"/>
        </w:rPr>
        <w:t xml:space="preserve">Zapopan.- </w:t>
      </w:r>
      <w:r w:rsidRPr="00261667">
        <w:rPr>
          <w:rFonts w:ascii="Arial" w:hAnsi="Arial" w:cs="Arial"/>
          <w:sz w:val="20"/>
          <w:szCs w:val="20"/>
        </w:rPr>
        <w:t>La diferencia de $15,000.00, es por lo siguiente, en el mes de noviembre la factura 8562  por  $5,000.00.,  y  factura  8594  por  $10,000.00,  pero  posterior  a  la  fecha  del  cierre  de noviembre  se  canceló  la  factura  por  parte  del  plantel  Zapopan,  siendo  que  el departamento  de recursos financieros ya habíamos cerrado y no se nos notificó, sino que hasta diciembre se vuelve a  facturar  con  el  folio  8649  $5,000.00,  8648  $5,000.00,  8652  $2,400.00,  8653  $2,600.00,  y  por parte de nuestro departamento no se canceló ya que fue un periodo ya cerrado.</w:t>
      </w:r>
    </w:p>
    <w:p w:rsidR="00261667" w:rsidRPr="00261667" w:rsidRDefault="00261667" w:rsidP="00261667">
      <w:pPr>
        <w:jc w:val="both"/>
        <w:rPr>
          <w:rFonts w:ascii="Arial" w:hAnsi="Arial" w:cs="Arial"/>
          <w:b/>
          <w:sz w:val="20"/>
          <w:szCs w:val="20"/>
        </w:rPr>
      </w:pPr>
      <w:r w:rsidRPr="00261667">
        <w:rPr>
          <w:rFonts w:ascii="Arial" w:hAnsi="Arial" w:cs="Arial"/>
          <w:b/>
          <w:sz w:val="20"/>
          <w:szCs w:val="20"/>
        </w:rPr>
        <w:t xml:space="preserve">Puerto Vallarta y Puerto Vallarta 2.- </w:t>
      </w:r>
      <w:r w:rsidRPr="00261667">
        <w:rPr>
          <w:rFonts w:ascii="Arial" w:hAnsi="Arial" w:cs="Arial"/>
          <w:sz w:val="20"/>
          <w:szCs w:val="20"/>
        </w:rPr>
        <w:t>Según los reportes de facturación con lo contabilizado, si existe  la  descripción  en  el  concepto  entre  Puerto  Vallarta  y  Puerto  Vallarta  2,  resultando  en facturación $245,599.00, y en el sistema de contabilidad $252,599.00, menos $7,000.00 de notas de  crédito  que  están  cargados  en  p.d.  736  del  07/10/16  por  $2,000.00,  p.d.  629  14/11/16  por $2,000.00,   p.d.   630   del   30/11/16   por   $4,000.00,   dando   un   resultado   en   contabilidad   de $ 245,599.00</w:t>
      </w:r>
      <w:r w:rsidRPr="00261667">
        <w:rPr>
          <w:rFonts w:ascii="Arial" w:hAnsi="Arial" w:cs="Arial"/>
          <w:b/>
          <w:sz w:val="20"/>
          <w:szCs w:val="20"/>
        </w:rPr>
        <w:t xml:space="preserve"> </w:t>
      </w:r>
    </w:p>
    <w:p w:rsidR="004128DC" w:rsidRPr="00261667" w:rsidRDefault="00261667" w:rsidP="00261667">
      <w:pPr>
        <w:jc w:val="both"/>
        <w:rPr>
          <w:rFonts w:ascii="Arial" w:hAnsi="Arial" w:cs="Arial"/>
          <w:sz w:val="20"/>
          <w:szCs w:val="20"/>
        </w:rPr>
      </w:pPr>
      <w:r w:rsidRPr="00261667">
        <w:rPr>
          <w:rFonts w:ascii="Arial" w:hAnsi="Arial" w:cs="Arial"/>
          <w:b/>
          <w:sz w:val="20"/>
          <w:szCs w:val="20"/>
        </w:rPr>
        <w:t xml:space="preserve">Tlaquepaque.- </w:t>
      </w:r>
      <w:r w:rsidRPr="00261667">
        <w:rPr>
          <w:rFonts w:ascii="Arial" w:hAnsi="Arial" w:cs="Arial"/>
          <w:sz w:val="20"/>
          <w:szCs w:val="20"/>
        </w:rPr>
        <w:t>Facturado por $2´491,382.78, contabilizado por $2´507,802.78, menos las notas de crédito por $16,420.00 que están cargadas en el auxiliar, dan el resultados por $2´491,382.78.</w:t>
      </w:r>
    </w:p>
    <w:p w:rsidR="004128DC" w:rsidRPr="00261667" w:rsidRDefault="00261667" w:rsidP="00261667">
      <w:pPr>
        <w:jc w:val="both"/>
        <w:rPr>
          <w:rFonts w:ascii="Arial" w:hAnsi="Arial" w:cs="Arial"/>
          <w:sz w:val="20"/>
          <w:szCs w:val="20"/>
        </w:rPr>
      </w:pPr>
      <w:r w:rsidRPr="00261667">
        <w:rPr>
          <w:rFonts w:ascii="Arial" w:hAnsi="Arial" w:cs="Arial"/>
          <w:b/>
          <w:sz w:val="20"/>
          <w:szCs w:val="20"/>
        </w:rPr>
        <w:t>Villa Hidalgo</w:t>
      </w:r>
      <w:r w:rsidRPr="00261667">
        <w:rPr>
          <w:rFonts w:ascii="Arial" w:hAnsi="Arial" w:cs="Arial"/>
          <w:sz w:val="20"/>
          <w:szCs w:val="20"/>
        </w:rPr>
        <w:t xml:space="preserve">.- Facturado por $941,370.00, y lo contabilizado por $941,850.00, </w:t>
      </w:r>
      <w:r w:rsidR="003775D4" w:rsidRPr="00261667">
        <w:rPr>
          <w:rFonts w:ascii="Arial" w:hAnsi="Arial" w:cs="Arial"/>
          <w:sz w:val="20"/>
          <w:szCs w:val="20"/>
        </w:rPr>
        <w:t>el</w:t>
      </w:r>
      <w:r w:rsidRPr="00261667">
        <w:rPr>
          <w:rFonts w:ascii="Arial" w:hAnsi="Arial" w:cs="Arial"/>
          <w:sz w:val="20"/>
          <w:szCs w:val="20"/>
        </w:rPr>
        <w:t xml:space="preserve"> $480.00 es por una nota de crédito que </w:t>
      </w:r>
      <w:r w:rsidR="003775D4" w:rsidRPr="00261667">
        <w:rPr>
          <w:rFonts w:ascii="Arial" w:hAnsi="Arial" w:cs="Arial"/>
          <w:sz w:val="20"/>
          <w:szCs w:val="20"/>
        </w:rPr>
        <w:t>está</w:t>
      </w:r>
      <w:r w:rsidRPr="00261667">
        <w:rPr>
          <w:rFonts w:ascii="Arial" w:hAnsi="Arial" w:cs="Arial"/>
          <w:sz w:val="20"/>
          <w:szCs w:val="20"/>
        </w:rPr>
        <w:t xml:space="preserve"> cargado en las cuentas 41730-00000.</w:t>
      </w:r>
    </w:p>
    <w:p w:rsidR="004128DC" w:rsidRPr="003775D4" w:rsidRDefault="003775D4" w:rsidP="003775D4">
      <w:pPr>
        <w:jc w:val="both"/>
        <w:rPr>
          <w:rFonts w:ascii="Arial" w:hAnsi="Arial" w:cs="Arial"/>
          <w:sz w:val="20"/>
          <w:szCs w:val="20"/>
        </w:rPr>
      </w:pPr>
      <w:r w:rsidRPr="003775D4">
        <w:rPr>
          <w:rFonts w:ascii="Arial" w:hAnsi="Arial" w:cs="Arial"/>
          <w:b/>
          <w:sz w:val="20"/>
          <w:szCs w:val="20"/>
        </w:rPr>
        <w:t xml:space="preserve">Zapotlán.- </w:t>
      </w:r>
      <w:r w:rsidRPr="003775D4">
        <w:rPr>
          <w:rFonts w:ascii="Arial" w:hAnsi="Arial" w:cs="Arial"/>
          <w:sz w:val="20"/>
          <w:szCs w:val="20"/>
        </w:rPr>
        <w:t>La cantidad de $809.00, que representa la factura 4424 del 21/10/16, se registró en contabilidad  en  la  cuenta  42240-94103  (ayudas  sociales),  ya  que  representa  una  donación  por parte de la empresa Bimbo S.A. de C.V.</w:t>
      </w:r>
    </w:p>
    <w:p w:rsidR="004128DC" w:rsidRDefault="004128DC" w:rsidP="0035215E">
      <w:pPr>
        <w:jc w:val="center"/>
        <w:rPr>
          <w:rFonts w:ascii="Arial" w:hAnsi="Arial" w:cs="Arial"/>
          <w:b/>
          <w:sz w:val="24"/>
          <w:szCs w:val="24"/>
        </w:rPr>
      </w:pPr>
    </w:p>
    <w:p w:rsidR="004128DC" w:rsidRDefault="004128DC" w:rsidP="0035215E">
      <w:pPr>
        <w:jc w:val="center"/>
        <w:rPr>
          <w:rFonts w:ascii="Arial" w:hAnsi="Arial" w:cs="Arial"/>
          <w:b/>
          <w:sz w:val="24"/>
          <w:szCs w:val="24"/>
        </w:rPr>
      </w:pPr>
    </w:p>
    <w:p w:rsidR="004128DC" w:rsidRDefault="004128DC" w:rsidP="0035215E">
      <w:pPr>
        <w:jc w:val="center"/>
        <w:rPr>
          <w:rFonts w:ascii="Arial" w:hAnsi="Arial" w:cs="Arial"/>
          <w:b/>
          <w:sz w:val="24"/>
          <w:szCs w:val="24"/>
        </w:rPr>
      </w:pPr>
    </w:p>
    <w:p w:rsidR="004128DC" w:rsidRDefault="004128DC" w:rsidP="0035215E">
      <w:pPr>
        <w:jc w:val="center"/>
        <w:rPr>
          <w:rFonts w:ascii="Arial" w:hAnsi="Arial" w:cs="Arial"/>
          <w:b/>
          <w:sz w:val="24"/>
          <w:szCs w:val="24"/>
        </w:rPr>
      </w:pPr>
    </w:p>
    <w:p w:rsidR="00C90A85" w:rsidRDefault="00C90A85" w:rsidP="004128DC">
      <w:pPr>
        <w:jc w:val="center"/>
        <w:rPr>
          <w:rFonts w:ascii="Arial" w:hAnsi="Arial" w:cs="Arial"/>
          <w:b/>
          <w:sz w:val="24"/>
          <w:szCs w:val="24"/>
        </w:rPr>
      </w:pPr>
    </w:p>
    <w:p w:rsidR="00C90A85" w:rsidRDefault="00C90A85" w:rsidP="004128DC">
      <w:pPr>
        <w:jc w:val="center"/>
        <w:rPr>
          <w:rFonts w:ascii="Arial" w:hAnsi="Arial" w:cs="Arial"/>
          <w:b/>
          <w:sz w:val="24"/>
          <w:szCs w:val="24"/>
        </w:rPr>
      </w:pPr>
    </w:p>
    <w:p w:rsidR="00C90A85" w:rsidRDefault="00C90A85" w:rsidP="004128DC">
      <w:pPr>
        <w:jc w:val="center"/>
        <w:rPr>
          <w:rFonts w:ascii="Arial" w:hAnsi="Arial" w:cs="Arial"/>
          <w:b/>
          <w:sz w:val="24"/>
          <w:szCs w:val="24"/>
        </w:rPr>
      </w:pPr>
    </w:p>
    <w:p w:rsidR="004128DC" w:rsidRDefault="004128DC" w:rsidP="004128DC">
      <w:pPr>
        <w:jc w:val="center"/>
        <w:rPr>
          <w:rFonts w:ascii="Arial" w:hAnsi="Arial" w:cs="Arial"/>
          <w:b/>
          <w:sz w:val="24"/>
          <w:szCs w:val="24"/>
        </w:rPr>
      </w:pPr>
      <w:r>
        <w:rPr>
          <w:rFonts w:ascii="Arial" w:hAnsi="Arial" w:cs="Arial"/>
          <w:b/>
          <w:sz w:val="24"/>
          <w:szCs w:val="24"/>
        </w:rPr>
        <w:t xml:space="preserve">ANEXO 2 </w:t>
      </w:r>
    </w:p>
    <w:p w:rsidR="004128DC" w:rsidRPr="004F67D7" w:rsidRDefault="004128DC" w:rsidP="00261667">
      <w:pPr>
        <w:jc w:val="both"/>
        <w:rPr>
          <w:rFonts w:ascii="Arial" w:hAnsi="Arial" w:cs="Arial"/>
        </w:rPr>
      </w:pPr>
      <w:r>
        <w:rPr>
          <w:rFonts w:ascii="Arial" w:hAnsi="Arial" w:cs="Arial"/>
          <w:b/>
        </w:rPr>
        <w:t xml:space="preserve">5.3. </w:t>
      </w:r>
      <w:r w:rsidRPr="004F67D7">
        <w:rPr>
          <w:rFonts w:ascii="Arial" w:hAnsi="Arial" w:cs="Arial"/>
        </w:rPr>
        <w:t>Este beneficio fiscal nace en el decreto publicado el viernes 5 de dicie</w:t>
      </w:r>
      <w:r>
        <w:rPr>
          <w:rFonts w:ascii="Arial" w:hAnsi="Arial" w:cs="Arial"/>
        </w:rPr>
        <w:t>m</w:t>
      </w:r>
      <w:r w:rsidRPr="004F67D7">
        <w:rPr>
          <w:rFonts w:ascii="Arial" w:hAnsi="Arial" w:cs="Arial"/>
        </w:rPr>
        <w:t>bre de  2008 Publicado en el Periódico Oficial de la Federación el cual se pron</w:t>
      </w:r>
      <w:r>
        <w:rPr>
          <w:rFonts w:ascii="Arial" w:hAnsi="Arial" w:cs="Arial"/>
        </w:rPr>
        <w:t>un</w:t>
      </w:r>
      <w:r w:rsidRPr="004F67D7">
        <w:rPr>
          <w:rFonts w:ascii="Arial" w:hAnsi="Arial" w:cs="Arial"/>
        </w:rPr>
        <w:t>cia al  oto</w:t>
      </w:r>
      <w:r>
        <w:rPr>
          <w:rFonts w:ascii="Arial" w:hAnsi="Arial" w:cs="Arial"/>
        </w:rPr>
        <w:t>r</w:t>
      </w:r>
      <w:r w:rsidRPr="004F67D7">
        <w:rPr>
          <w:rFonts w:ascii="Arial" w:hAnsi="Arial" w:cs="Arial"/>
        </w:rPr>
        <w:t>gamiento de diversos beneficios fiscales en Materia del Impuesto s</w:t>
      </w:r>
      <w:r>
        <w:rPr>
          <w:rFonts w:ascii="Arial" w:hAnsi="Arial" w:cs="Arial"/>
        </w:rPr>
        <w:t>o</w:t>
      </w:r>
      <w:r w:rsidRPr="004F67D7">
        <w:rPr>
          <w:rFonts w:ascii="Arial" w:hAnsi="Arial" w:cs="Arial"/>
        </w:rPr>
        <w:t xml:space="preserve">bre la  renta. Y Licitación pública local </w:t>
      </w:r>
      <w:r w:rsidRPr="004F67D7">
        <w:rPr>
          <w:rFonts w:ascii="Arial" w:hAnsi="Arial" w:cs="Arial"/>
          <w:bCs/>
          <w:i/>
          <w:iCs/>
        </w:rPr>
        <w:t xml:space="preserve">LPL/30/2015 "DENOMINADA ADQUISIC ONDE  SERVICIOS PARA LA BTENCIÓN DE ESTIMULOS FISCALES ,PREVISTO EN LA  LEGISLACIÓN FISCAL PARA LOS ENTES PUBLICOS </w:t>
      </w:r>
      <w:r w:rsidRPr="004F67D7">
        <w:rPr>
          <w:rFonts w:ascii="Arial" w:hAnsi="Arial" w:cs="Arial"/>
        </w:rPr>
        <w:t>"</w:t>
      </w:r>
    </w:p>
    <w:p w:rsidR="004128DC" w:rsidRPr="004F67D7" w:rsidRDefault="004128DC" w:rsidP="004128DC">
      <w:pPr>
        <w:jc w:val="both"/>
        <w:rPr>
          <w:rFonts w:ascii="Arial" w:hAnsi="Arial" w:cs="Arial"/>
        </w:rPr>
      </w:pPr>
      <w:r w:rsidRPr="004F67D7">
        <w:rPr>
          <w:rFonts w:ascii="Arial" w:hAnsi="Arial" w:cs="Arial"/>
        </w:rPr>
        <w:t>En su artículo 111.- primer párrafo establece:</w:t>
      </w:r>
    </w:p>
    <w:p w:rsidR="004128DC" w:rsidRPr="004F67D7" w:rsidRDefault="004128DC" w:rsidP="004128DC">
      <w:pPr>
        <w:jc w:val="both"/>
        <w:rPr>
          <w:rFonts w:ascii="Arial" w:hAnsi="Arial" w:cs="Arial"/>
        </w:rPr>
      </w:pPr>
      <w:r w:rsidRPr="004F67D7">
        <w:rPr>
          <w:rFonts w:ascii="Arial" w:hAnsi="Arial" w:cs="Arial"/>
          <w:bCs/>
        </w:rPr>
        <w:t xml:space="preserve">Los organismos descentralizados sólo podrán gozar de los beneficios  fiscales a que se refiere el artículo segundo de este Decreto cuando la  entidad federativa o municipio al que pertenezcan </w:t>
      </w:r>
      <w:r w:rsidRPr="004F67D7">
        <w:rPr>
          <w:rFonts w:ascii="Arial" w:hAnsi="Arial" w:cs="Arial"/>
        </w:rPr>
        <w:t>manifie</w:t>
      </w:r>
      <w:r>
        <w:rPr>
          <w:rFonts w:ascii="Arial" w:hAnsi="Arial" w:cs="Arial"/>
        </w:rPr>
        <w:t>ste</w:t>
      </w:r>
      <w:r w:rsidRPr="004F67D7">
        <w:rPr>
          <w:rFonts w:ascii="Arial" w:hAnsi="Arial" w:cs="Arial"/>
        </w:rPr>
        <w:t xml:space="preserve"> su  conformidad para que en caso de que dichos organismos incumplan con su  obligación de entero del impuesto sobre la renta a cargo de sus trabaj</w:t>
      </w:r>
      <w:r>
        <w:rPr>
          <w:rFonts w:ascii="Arial" w:hAnsi="Arial" w:cs="Arial"/>
        </w:rPr>
        <w:t>o</w:t>
      </w:r>
      <w:r w:rsidRPr="004F67D7">
        <w:rPr>
          <w:rFonts w:ascii="Arial" w:hAnsi="Arial" w:cs="Arial"/>
        </w:rPr>
        <w:t xml:space="preserve"> dores,  proceda a realizarse la compensación del adeudo contra las particip</w:t>
      </w:r>
      <w:r>
        <w:rPr>
          <w:rFonts w:ascii="Arial" w:hAnsi="Arial" w:cs="Arial"/>
        </w:rPr>
        <w:t>a</w:t>
      </w:r>
      <w:r w:rsidRPr="004F67D7">
        <w:rPr>
          <w:rFonts w:ascii="Arial" w:hAnsi="Arial" w:cs="Arial"/>
        </w:rPr>
        <w:t>ciones  federales de la entidad federativa o municipio, Según se trate, en los térm</w:t>
      </w:r>
      <w:r>
        <w:rPr>
          <w:rFonts w:ascii="Arial" w:hAnsi="Arial" w:cs="Arial"/>
        </w:rPr>
        <w:t>in</w:t>
      </w:r>
      <w:r w:rsidRPr="004F67D7">
        <w:rPr>
          <w:rFonts w:ascii="Arial" w:hAnsi="Arial" w:cs="Arial"/>
        </w:rPr>
        <w:t>os del  primer párrafo de esta fracción.</w:t>
      </w:r>
    </w:p>
    <w:p w:rsidR="004128DC" w:rsidRPr="004128DC" w:rsidRDefault="004128DC" w:rsidP="004128DC">
      <w:pPr>
        <w:jc w:val="both"/>
        <w:rPr>
          <w:rFonts w:ascii="Arial" w:hAnsi="Arial" w:cs="Arial"/>
        </w:rPr>
      </w:pPr>
      <w:r w:rsidRPr="004128DC">
        <w:rPr>
          <w:rFonts w:ascii="Arial" w:hAnsi="Arial" w:cs="Arial"/>
          <w:bCs/>
        </w:rPr>
        <w:t>Es decir es el otorgamiento de un estímulo fiscal es para el organismo,  no para el empleado resaltando que este estímulo fiscal se deriva de los  enteros de impuesto generados por los empleados ISR por salario)</w:t>
      </w:r>
    </w:p>
    <w:p w:rsidR="004128DC" w:rsidRPr="004128DC" w:rsidRDefault="004128DC" w:rsidP="004128DC">
      <w:pPr>
        <w:jc w:val="both"/>
        <w:rPr>
          <w:rFonts w:ascii="Arial" w:hAnsi="Arial" w:cs="Arial"/>
        </w:rPr>
      </w:pPr>
      <w:r w:rsidRPr="004128DC">
        <w:rPr>
          <w:rFonts w:ascii="Arial" w:hAnsi="Arial" w:cs="Arial"/>
          <w:bCs/>
          <w:iCs/>
        </w:rPr>
        <w:t>Para la solvatación de dicha observación se adjunta copia si le de  contrato Macro celebrado por SEPAF, Decreto emitido en periódico  Oficial de la federación el viernes5 de diciembre de 2008, emitid por la  Secretaria de Hacienda y crédito Público y copia de contrato de servicios  IDEFT DONDE en el objeto del mismo se manifiesta lo anterior.</w:t>
      </w:r>
    </w:p>
    <w:p w:rsidR="0035215E" w:rsidRDefault="0035215E">
      <w:pPr>
        <w:rPr>
          <w:rFonts w:ascii="Arial" w:hAnsi="Arial" w:cs="Arial"/>
          <w:sz w:val="24"/>
          <w:szCs w:val="24"/>
        </w:rPr>
      </w:pPr>
    </w:p>
    <w:p w:rsidR="003775D4" w:rsidRDefault="003775D4">
      <w:pPr>
        <w:rPr>
          <w:rFonts w:ascii="Arial" w:hAnsi="Arial" w:cs="Arial"/>
          <w:sz w:val="24"/>
          <w:szCs w:val="24"/>
        </w:rPr>
      </w:pPr>
    </w:p>
    <w:p w:rsidR="003775D4" w:rsidRDefault="003775D4">
      <w:pPr>
        <w:rPr>
          <w:rFonts w:ascii="Arial" w:hAnsi="Arial" w:cs="Arial"/>
          <w:sz w:val="24"/>
          <w:szCs w:val="24"/>
        </w:rPr>
      </w:pPr>
    </w:p>
    <w:p w:rsidR="003775D4" w:rsidRDefault="003775D4">
      <w:pPr>
        <w:rPr>
          <w:rFonts w:ascii="Arial" w:hAnsi="Arial" w:cs="Arial"/>
          <w:sz w:val="24"/>
          <w:szCs w:val="24"/>
        </w:rPr>
      </w:pPr>
    </w:p>
    <w:p w:rsidR="003775D4" w:rsidRDefault="003775D4">
      <w:pPr>
        <w:rPr>
          <w:rFonts w:ascii="Arial" w:hAnsi="Arial" w:cs="Arial"/>
          <w:sz w:val="24"/>
          <w:szCs w:val="24"/>
        </w:rPr>
      </w:pPr>
    </w:p>
    <w:p w:rsidR="003775D4" w:rsidRDefault="003775D4">
      <w:pPr>
        <w:rPr>
          <w:rFonts w:ascii="Arial" w:hAnsi="Arial" w:cs="Arial"/>
          <w:sz w:val="24"/>
          <w:szCs w:val="24"/>
        </w:rPr>
      </w:pPr>
    </w:p>
    <w:p w:rsidR="003775D4" w:rsidRDefault="003775D4">
      <w:pPr>
        <w:rPr>
          <w:rFonts w:ascii="Arial" w:hAnsi="Arial" w:cs="Arial"/>
          <w:sz w:val="24"/>
          <w:szCs w:val="24"/>
        </w:rPr>
      </w:pPr>
    </w:p>
    <w:p w:rsidR="003775D4" w:rsidRDefault="003775D4">
      <w:pPr>
        <w:rPr>
          <w:rFonts w:ascii="Arial" w:hAnsi="Arial" w:cs="Arial"/>
          <w:sz w:val="24"/>
          <w:szCs w:val="24"/>
        </w:rPr>
      </w:pPr>
    </w:p>
    <w:p w:rsidR="003775D4" w:rsidRDefault="003775D4">
      <w:pPr>
        <w:rPr>
          <w:rFonts w:ascii="Arial" w:hAnsi="Arial" w:cs="Arial"/>
          <w:sz w:val="24"/>
          <w:szCs w:val="24"/>
        </w:rPr>
      </w:pPr>
    </w:p>
    <w:p w:rsidR="003775D4" w:rsidRDefault="003775D4">
      <w:pPr>
        <w:rPr>
          <w:rFonts w:ascii="Arial" w:hAnsi="Arial" w:cs="Arial"/>
          <w:sz w:val="24"/>
          <w:szCs w:val="24"/>
        </w:rPr>
      </w:pPr>
    </w:p>
    <w:p w:rsidR="003775D4" w:rsidRDefault="003775D4">
      <w:pPr>
        <w:rPr>
          <w:rFonts w:ascii="Arial" w:hAnsi="Arial" w:cs="Arial"/>
          <w:sz w:val="24"/>
          <w:szCs w:val="24"/>
        </w:rPr>
      </w:pPr>
    </w:p>
    <w:p w:rsidR="003775D4" w:rsidRDefault="003775D4">
      <w:pPr>
        <w:rPr>
          <w:rFonts w:ascii="Arial" w:hAnsi="Arial" w:cs="Arial"/>
          <w:sz w:val="24"/>
          <w:szCs w:val="24"/>
        </w:rPr>
      </w:pPr>
    </w:p>
    <w:p w:rsidR="003775D4" w:rsidRDefault="003775D4" w:rsidP="003775D4">
      <w:pPr>
        <w:jc w:val="center"/>
        <w:rPr>
          <w:rFonts w:ascii="Arial" w:hAnsi="Arial" w:cs="Arial"/>
          <w:b/>
          <w:sz w:val="24"/>
          <w:szCs w:val="24"/>
        </w:rPr>
      </w:pPr>
    </w:p>
    <w:p w:rsidR="003775D4" w:rsidRDefault="003775D4" w:rsidP="003775D4">
      <w:pPr>
        <w:jc w:val="center"/>
        <w:rPr>
          <w:rFonts w:ascii="Arial" w:hAnsi="Arial" w:cs="Arial"/>
          <w:b/>
          <w:sz w:val="24"/>
          <w:szCs w:val="24"/>
        </w:rPr>
      </w:pPr>
    </w:p>
    <w:p w:rsidR="003775D4" w:rsidRDefault="003775D4" w:rsidP="003775D4">
      <w:pPr>
        <w:jc w:val="center"/>
        <w:rPr>
          <w:rFonts w:ascii="Arial" w:hAnsi="Arial" w:cs="Arial"/>
          <w:b/>
          <w:sz w:val="24"/>
          <w:szCs w:val="24"/>
        </w:rPr>
      </w:pPr>
    </w:p>
    <w:p w:rsidR="003775D4" w:rsidRPr="003775D4" w:rsidRDefault="003775D4" w:rsidP="003775D4">
      <w:pPr>
        <w:jc w:val="center"/>
        <w:rPr>
          <w:rFonts w:ascii="Arial" w:hAnsi="Arial" w:cs="Arial"/>
          <w:b/>
          <w:sz w:val="24"/>
          <w:szCs w:val="24"/>
        </w:rPr>
      </w:pPr>
      <w:r w:rsidRPr="003775D4">
        <w:rPr>
          <w:rFonts w:ascii="Arial" w:hAnsi="Arial" w:cs="Arial"/>
          <w:b/>
          <w:sz w:val="24"/>
          <w:szCs w:val="24"/>
        </w:rPr>
        <w:lastRenderedPageBreak/>
        <w:t>ANEXO 3</w:t>
      </w:r>
    </w:p>
    <w:p w:rsidR="003775D4" w:rsidRPr="0035215E" w:rsidRDefault="003775D4">
      <w:pPr>
        <w:rPr>
          <w:rFonts w:ascii="Arial" w:hAnsi="Arial" w:cs="Arial"/>
          <w:sz w:val="24"/>
          <w:szCs w:val="24"/>
        </w:rPr>
      </w:pPr>
    </w:p>
    <w:p w:rsidR="0035215E" w:rsidRPr="0035215E" w:rsidRDefault="0035215E">
      <w:pPr>
        <w:rPr>
          <w:rFonts w:ascii="Arial" w:hAnsi="Arial" w:cs="Arial"/>
          <w:b/>
          <w:sz w:val="24"/>
          <w:szCs w:val="24"/>
        </w:rPr>
      </w:pPr>
      <w:r w:rsidRPr="0035215E">
        <w:rPr>
          <w:rFonts w:ascii="Arial" w:hAnsi="Arial" w:cs="Arial"/>
          <w:b/>
          <w:sz w:val="24"/>
          <w:szCs w:val="24"/>
        </w:rPr>
        <w:t>Respuesta a Observación 6.10</w:t>
      </w:r>
    </w:p>
    <w:p w:rsidR="0035215E" w:rsidRPr="0035215E" w:rsidRDefault="0035215E" w:rsidP="0035215E">
      <w:pPr>
        <w:jc w:val="both"/>
        <w:rPr>
          <w:rFonts w:ascii="Arial" w:hAnsi="Arial" w:cs="Arial"/>
          <w:sz w:val="24"/>
          <w:szCs w:val="24"/>
        </w:rPr>
      </w:pPr>
      <w:r>
        <w:rPr>
          <w:rFonts w:ascii="Arial" w:hAnsi="Arial" w:cs="Arial"/>
          <w:sz w:val="24"/>
          <w:szCs w:val="24"/>
        </w:rPr>
        <w:t>E</w:t>
      </w:r>
      <w:r w:rsidRPr="0035215E">
        <w:rPr>
          <w:rFonts w:ascii="Arial" w:hAnsi="Arial" w:cs="Arial"/>
          <w:sz w:val="24"/>
          <w:szCs w:val="24"/>
        </w:rPr>
        <w:t>sta proyección se tiene en caso de ser todos los casos Laudados pero en la mayoría  de los casos se han llevado arreglos antes del Laudo con cantidades menores a las  presupuestadas. Ya que se pretende conciliar con los trabajadores demandantes antes  del Laudo. También se hace saber que siempre en los cálculos se proyecta en 15% más  arriba por alguna negociación fallida.</w:t>
      </w:r>
    </w:p>
    <w:p w:rsidR="0035215E" w:rsidRPr="0035215E" w:rsidRDefault="0035215E" w:rsidP="0035215E">
      <w:pPr>
        <w:jc w:val="both"/>
        <w:rPr>
          <w:rFonts w:ascii="Arial" w:hAnsi="Arial" w:cs="Arial"/>
          <w:sz w:val="24"/>
          <w:szCs w:val="24"/>
        </w:rPr>
      </w:pPr>
      <w:r w:rsidRPr="0035215E">
        <w:rPr>
          <w:rFonts w:ascii="Arial" w:hAnsi="Arial" w:cs="Arial"/>
          <w:sz w:val="24"/>
          <w:szCs w:val="24"/>
        </w:rPr>
        <w:t>Nota: se hacer saber que esto es una proyección ficticia y elevada.</w:t>
      </w:r>
    </w:p>
    <w:p w:rsidR="0035215E" w:rsidRDefault="0035215E">
      <w:pPr>
        <w:rPr>
          <w:rFonts w:ascii="Arial" w:hAnsi="Arial" w:cs="Arial"/>
          <w:sz w:val="24"/>
          <w:szCs w:val="24"/>
        </w:rPr>
      </w:pPr>
    </w:p>
    <w:p w:rsidR="003775D4" w:rsidRDefault="003775D4">
      <w:pPr>
        <w:rPr>
          <w:rFonts w:ascii="Arial" w:hAnsi="Arial" w:cs="Arial"/>
          <w:sz w:val="24"/>
          <w:szCs w:val="24"/>
        </w:rPr>
      </w:pPr>
    </w:p>
    <w:p w:rsidR="003775D4" w:rsidRDefault="003775D4">
      <w:pPr>
        <w:rPr>
          <w:rFonts w:ascii="Arial" w:hAnsi="Arial" w:cs="Arial"/>
          <w:sz w:val="24"/>
          <w:szCs w:val="24"/>
        </w:rPr>
      </w:pPr>
    </w:p>
    <w:p w:rsidR="003775D4" w:rsidRDefault="003775D4">
      <w:pPr>
        <w:rPr>
          <w:rFonts w:ascii="Arial" w:hAnsi="Arial" w:cs="Arial"/>
          <w:sz w:val="24"/>
          <w:szCs w:val="24"/>
        </w:rPr>
      </w:pPr>
    </w:p>
    <w:p w:rsidR="003775D4" w:rsidRDefault="003775D4">
      <w:pPr>
        <w:rPr>
          <w:rFonts w:ascii="Arial" w:hAnsi="Arial" w:cs="Arial"/>
          <w:sz w:val="24"/>
          <w:szCs w:val="24"/>
        </w:rPr>
      </w:pPr>
    </w:p>
    <w:p w:rsidR="003775D4" w:rsidRDefault="003775D4">
      <w:pPr>
        <w:rPr>
          <w:rFonts w:ascii="Arial" w:hAnsi="Arial" w:cs="Arial"/>
          <w:sz w:val="24"/>
          <w:szCs w:val="24"/>
        </w:rPr>
      </w:pPr>
    </w:p>
    <w:p w:rsidR="003775D4" w:rsidRDefault="003775D4">
      <w:pPr>
        <w:rPr>
          <w:rFonts w:ascii="Arial" w:hAnsi="Arial" w:cs="Arial"/>
          <w:sz w:val="24"/>
          <w:szCs w:val="24"/>
        </w:rPr>
      </w:pPr>
    </w:p>
    <w:p w:rsidR="003775D4" w:rsidRDefault="003775D4">
      <w:pPr>
        <w:rPr>
          <w:rFonts w:ascii="Arial" w:hAnsi="Arial" w:cs="Arial"/>
          <w:sz w:val="24"/>
          <w:szCs w:val="24"/>
        </w:rPr>
      </w:pPr>
    </w:p>
    <w:p w:rsidR="003775D4" w:rsidRDefault="003775D4">
      <w:pPr>
        <w:rPr>
          <w:rFonts w:ascii="Arial" w:hAnsi="Arial" w:cs="Arial"/>
          <w:sz w:val="24"/>
          <w:szCs w:val="24"/>
        </w:rPr>
      </w:pPr>
    </w:p>
    <w:p w:rsidR="003775D4" w:rsidRDefault="003775D4">
      <w:pPr>
        <w:rPr>
          <w:rFonts w:ascii="Arial" w:hAnsi="Arial" w:cs="Arial"/>
          <w:sz w:val="24"/>
          <w:szCs w:val="24"/>
        </w:rPr>
      </w:pPr>
    </w:p>
    <w:p w:rsidR="003775D4" w:rsidRDefault="003775D4">
      <w:pPr>
        <w:rPr>
          <w:rFonts w:ascii="Arial" w:hAnsi="Arial" w:cs="Arial"/>
          <w:sz w:val="24"/>
          <w:szCs w:val="24"/>
        </w:rPr>
      </w:pPr>
    </w:p>
    <w:p w:rsidR="003775D4" w:rsidRDefault="003775D4">
      <w:pPr>
        <w:rPr>
          <w:rFonts w:ascii="Arial" w:hAnsi="Arial" w:cs="Arial"/>
          <w:sz w:val="24"/>
          <w:szCs w:val="24"/>
        </w:rPr>
      </w:pPr>
    </w:p>
    <w:p w:rsidR="003775D4" w:rsidRDefault="003775D4">
      <w:pPr>
        <w:rPr>
          <w:rFonts w:ascii="Arial" w:hAnsi="Arial" w:cs="Arial"/>
          <w:sz w:val="24"/>
          <w:szCs w:val="24"/>
        </w:rPr>
      </w:pPr>
    </w:p>
    <w:p w:rsidR="003775D4" w:rsidRDefault="003775D4">
      <w:pPr>
        <w:rPr>
          <w:rFonts w:ascii="Arial" w:hAnsi="Arial" w:cs="Arial"/>
          <w:sz w:val="24"/>
          <w:szCs w:val="24"/>
        </w:rPr>
      </w:pPr>
    </w:p>
    <w:p w:rsidR="003775D4" w:rsidRDefault="003775D4">
      <w:pPr>
        <w:rPr>
          <w:rFonts w:ascii="Arial" w:hAnsi="Arial" w:cs="Arial"/>
          <w:sz w:val="24"/>
          <w:szCs w:val="24"/>
        </w:rPr>
      </w:pPr>
    </w:p>
    <w:p w:rsidR="003775D4" w:rsidRDefault="003775D4">
      <w:pPr>
        <w:rPr>
          <w:rFonts w:ascii="Arial" w:hAnsi="Arial" w:cs="Arial"/>
          <w:sz w:val="24"/>
          <w:szCs w:val="24"/>
        </w:rPr>
      </w:pPr>
    </w:p>
    <w:p w:rsidR="003775D4" w:rsidRDefault="003775D4">
      <w:pPr>
        <w:rPr>
          <w:rFonts w:ascii="Arial" w:hAnsi="Arial" w:cs="Arial"/>
          <w:sz w:val="24"/>
          <w:szCs w:val="24"/>
        </w:rPr>
      </w:pPr>
    </w:p>
    <w:p w:rsidR="003775D4" w:rsidRDefault="003775D4">
      <w:pPr>
        <w:rPr>
          <w:rFonts w:ascii="Arial" w:hAnsi="Arial" w:cs="Arial"/>
          <w:sz w:val="24"/>
          <w:szCs w:val="24"/>
        </w:rPr>
      </w:pPr>
    </w:p>
    <w:p w:rsidR="00C90A85" w:rsidRDefault="00C90A85" w:rsidP="003775D4">
      <w:pPr>
        <w:jc w:val="center"/>
        <w:rPr>
          <w:rFonts w:ascii="Arial" w:hAnsi="Arial" w:cs="Arial"/>
          <w:b/>
          <w:sz w:val="24"/>
          <w:szCs w:val="24"/>
        </w:rPr>
      </w:pPr>
    </w:p>
    <w:p w:rsidR="00C90A85" w:rsidRDefault="00C90A85" w:rsidP="003775D4">
      <w:pPr>
        <w:jc w:val="center"/>
        <w:rPr>
          <w:rFonts w:ascii="Arial" w:hAnsi="Arial" w:cs="Arial"/>
          <w:b/>
          <w:sz w:val="24"/>
          <w:szCs w:val="24"/>
        </w:rPr>
      </w:pPr>
    </w:p>
    <w:p w:rsidR="00C90A85" w:rsidRDefault="00C90A85" w:rsidP="003775D4">
      <w:pPr>
        <w:jc w:val="center"/>
        <w:rPr>
          <w:rFonts w:ascii="Arial" w:hAnsi="Arial" w:cs="Arial"/>
          <w:b/>
          <w:sz w:val="24"/>
          <w:szCs w:val="24"/>
        </w:rPr>
      </w:pPr>
    </w:p>
    <w:p w:rsidR="00C90A85" w:rsidRDefault="00C90A85" w:rsidP="003775D4">
      <w:pPr>
        <w:jc w:val="center"/>
        <w:rPr>
          <w:rFonts w:ascii="Arial" w:hAnsi="Arial" w:cs="Arial"/>
          <w:b/>
          <w:sz w:val="24"/>
          <w:szCs w:val="24"/>
        </w:rPr>
      </w:pPr>
    </w:p>
    <w:p w:rsidR="00C90A85" w:rsidRDefault="00C90A85" w:rsidP="003775D4">
      <w:pPr>
        <w:jc w:val="center"/>
        <w:rPr>
          <w:rFonts w:ascii="Arial" w:hAnsi="Arial" w:cs="Arial"/>
          <w:b/>
          <w:sz w:val="24"/>
          <w:szCs w:val="24"/>
        </w:rPr>
      </w:pPr>
    </w:p>
    <w:p w:rsidR="00C90A85" w:rsidRDefault="00C90A85" w:rsidP="003775D4">
      <w:pPr>
        <w:jc w:val="center"/>
        <w:rPr>
          <w:rFonts w:ascii="Arial" w:hAnsi="Arial" w:cs="Arial"/>
          <w:b/>
          <w:sz w:val="24"/>
          <w:szCs w:val="24"/>
        </w:rPr>
      </w:pPr>
    </w:p>
    <w:p w:rsidR="003775D4" w:rsidRDefault="003775D4" w:rsidP="003775D4">
      <w:pPr>
        <w:jc w:val="center"/>
        <w:rPr>
          <w:rFonts w:ascii="Arial" w:hAnsi="Arial" w:cs="Arial"/>
          <w:b/>
          <w:sz w:val="24"/>
          <w:szCs w:val="24"/>
        </w:rPr>
      </w:pPr>
      <w:r w:rsidRPr="003775D4">
        <w:rPr>
          <w:rFonts w:ascii="Arial" w:hAnsi="Arial" w:cs="Arial"/>
          <w:b/>
          <w:sz w:val="24"/>
          <w:szCs w:val="24"/>
        </w:rPr>
        <w:t>ANEXO 4</w:t>
      </w:r>
    </w:p>
    <w:p w:rsidR="003775D4" w:rsidRDefault="003775D4" w:rsidP="003775D4">
      <w:pPr>
        <w:rPr>
          <w:rFonts w:ascii="Arial" w:hAnsi="Arial" w:cs="Arial"/>
          <w:b/>
          <w:sz w:val="24"/>
          <w:szCs w:val="24"/>
        </w:rPr>
      </w:pPr>
    </w:p>
    <w:p w:rsidR="003775D4" w:rsidRDefault="003775D4" w:rsidP="003775D4">
      <w:pPr>
        <w:rPr>
          <w:rFonts w:ascii="Arial" w:hAnsi="Arial" w:cs="Arial"/>
          <w:b/>
          <w:sz w:val="24"/>
          <w:szCs w:val="24"/>
        </w:rPr>
      </w:pPr>
      <w:r>
        <w:rPr>
          <w:rFonts w:ascii="Arial" w:hAnsi="Arial" w:cs="Arial"/>
          <w:b/>
          <w:sz w:val="24"/>
          <w:szCs w:val="24"/>
        </w:rPr>
        <w:t>Respuesta a Observación 7.2.</w:t>
      </w:r>
    </w:p>
    <w:p w:rsidR="003775D4" w:rsidRDefault="003775D4" w:rsidP="003775D4">
      <w:pPr>
        <w:jc w:val="both"/>
        <w:rPr>
          <w:rFonts w:ascii="Arial" w:hAnsi="Arial" w:cs="Arial"/>
          <w:b/>
        </w:rPr>
      </w:pPr>
      <w:r w:rsidRPr="00461120">
        <w:rPr>
          <w:rFonts w:ascii="Arial" w:hAnsi="Arial" w:cs="Arial"/>
        </w:rPr>
        <w:t>El Instituto se vio imposibilitado para efectuar el pago del Sedar correspondiente a la 2da. Quincena de Diciembre del 2014 y a la 1ra. Quincena de enero del 2015 en tiempo, esto debido a la falta de liquidez. Esta situación se generó porque tanto el Gobierno Federal como el  Estado se retrasaron con sus ministraciones y esto originó dicha situación.</w:t>
      </w:r>
    </w:p>
    <w:p w:rsidR="003775D4" w:rsidRPr="003775D4" w:rsidRDefault="003775D4" w:rsidP="003775D4">
      <w:pPr>
        <w:jc w:val="both"/>
        <w:rPr>
          <w:rFonts w:ascii="Arial" w:hAnsi="Arial" w:cs="Arial"/>
          <w:sz w:val="24"/>
          <w:szCs w:val="24"/>
        </w:rPr>
      </w:pPr>
      <w:r w:rsidRPr="003775D4">
        <w:rPr>
          <w:rFonts w:ascii="Arial" w:hAnsi="Arial" w:cs="Arial"/>
          <w:sz w:val="24"/>
          <w:szCs w:val="24"/>
        </w:rPr>
        <w:t>El Instituto se vio imposibilitado para efectuar el pago del IMSS correspondiente al mes de noviembre 2014 y lo mismo el de noviembre del 2015 en tiempo, esto debido a la falta de liquidez.</w:t>
      </w:r>
      <w:r>
        <w:rPr>
          <w:rFonts w:ascii="Arial" w:hAnsi="Arial" w:cs="Arial"/>
          <w:sz w:val="24"/>
          <w:szCs w:val="24"/>
        </w:rPr>
        <w:t xml:space="preserve"> </w:t>
      </w:r>
      <w:r w:rsidRPr="003775D4">
        <w:rPr>
          <w:rFonts w:ascii="Arial" w:hAnsi="Arial" w:cs="Arial"/>
          <w:sz w:val="24"/>
          <w:szCs w:val="24"/>
        </w:rPr>
        <w:t>Esta situación se generó porque tanto e</w:t>
      </w:r>
      <w:r>
        <w:rPr>
          <w:rFonts w:ascii="Arial" w:hAnsi="Arial" w:cs="Arial"/>
          <w:sz w:val="24"/>
          <w:szCs w:val="24"/>
        </w:rPr>
        <w:t>l Gobierno Federal como el Esta</w:t>
      </w:r>
      <w:r w:rsidRPr="003775D4">
        <w:rPr>
          <w:rFonts w:ascii="Arial" w:hAnsi="Arial" w:cs="Arial"/>
          <w:sz w:val="24"/>
          <w:szCs w:val="24"/>
        </w:rPr>
        <w:t>do se retrasaron con sus ministraciones y esto originó dicha situación.</w:t>
      </w:r>
    </w:p>
    <w:p w:rsidR="003775D4" w:rsidRDefault="003775D4" w:rsidP="003775D4">
      <w:pPr>
        <w:jc w:val="both"/>
        <w:rPr>
          <w:rFonts w:ascii="Arial" w:hAnsi="Arial" w:cs="Arial"/>
          <w:sz w:val="24"/>
          <w:szCs w:val="24"/>
        </w:rPr>
      </w:pPr>
      <w:r w:rsidRPr="003775D4">
        <w:rPr>
          <w:rFonts w:ascii="Arial" w:hAnsi="Arial" w:cs="Arial"/>
          <w:sz w:val="24"/>
          <w:szCs w:val="24"/>
        </w:rPr>
        <w:t>El Departamento de Recursos Human</w:t>
      </w:r>
      <w:r>
        <w:rPr>
          <w:rFonts w:ascii="Arial" w:hAnsi="Arial" w:cs="Arial"/>
          <w:sz w:val="24"/>
          <w:szCs w:val="24"/>
        </w:rPr>
        <w:t>os tiene responsabilidad de des</w:t>
      </w:r>
      <w:r w:rsidRPr="003775D4">
        <w:rPr>
          <w:rFonts w:ascii="Arial" w:hAnsi="Arial" w:cs="Arial"/>
          <w:sz w:val="24"/>
          <w:szCs w:val="24"/>
        </w:rPr>
        <w:t>contar vía nómina los pagos por concepto de abonos quincenales de los</w:t>
      </w:r>
      <w:r>
        <w:rPr>
          <w:rFonts w:ascii="Arial" w:hAnsi="Arial" w:cs="Arial"/>
          <w:sz w:val="24"/>
          <w:szCs w:val="24"/>
        </w:rPr>
        <w:t xml:space="preserve"> </w:t>
      </w:r>
      <w:r w:rsidRPr="003775D4">
        <w:rPr>
          <w:rFonts w:ascii="Arial" w:hAnsi="Arial" w:cs="Arial"/>
          <w:sz w:val="24"/>
          <w:szCs w:val="24"/>
        </w:rPr>
        <w:t>trabajadores del IDEFT y como no se</w:t>
      </w:r>
      <w:r>
        <w:rPr>
          <w:rFonts w:ascii="Arial" w:hAnsi="Arial" w:cs="Arial"/>
          <w:sz w:val="24"/>
          <w:szCs w:val="24"/>
        </w:rPr>
        <w:t xml:space="preserve"> efectuaron tales descuentos Re</w:t>
      </w:r>
      <w:r w:rsidRPr="003775D4">
        <w:rPr>
          <w:rFonts w:ascii="Arial" w:hAnsi="Arial" w:cs="Arial"/>
          <w:sz w:val="24"/>
          <w:szCs w:val="24"/>
        </w:rPr>
        <w:t>cursos Humanos no emitía la cédula por el entero de los abonos y por</w:t>
      </w:r>
      <w:r>
        <w:rPr>
          <w:rFonts w:ascii="Arial" w:hAnsi="Arial" w:cs="Arial"/>
          <w:sz w:val="24"/>
          <w:szCs w:val="24"/>
        </w:rPr>
        <w:t xml:space="preserve"> </w:t>
      </w:r>
      <w:r w:rsidRPr="003775D4">
        <w:rPr>
          <w:rFonts w:ascii="Arial" w:hAnsi="Arial" w:cs="Arial"/>
          <w:sz w:val="24"/>
          <w:szCs w:val="24"/>
        </w:rPr>
        <w:t xml:space="preserve">falta de pago por parte del IDEFT </w:t>
      </w:r>
      <w:r>
        <w:rPr>
          <w:rFonts w:ascii="Arial" w:hAnsi="Arial" w:cs="Arial"/>
          <w:sz w:val="24"/>
          <w:szCs w:val="24"/>
        </w:rPr>
        <w:t>a FONACOT los anteriormente men</w:t>
      </w:r>
      <w:r w:rsidRPr="003775D4">
        <w:rPr>
          <w:rFonts w:ascii="Arial" w:hAnsi="Arial" w:cs="Arial"/>
          <w:sz w:val="24"/>
          <w:szCs w:val="24"/>
        </w:rPr>
        <w:t>cionados nos avisaron que ya estaban por pasar nuestra cuenta al</w:t>
      </w:r>
      <w:r>
        <w:rPr>
          <w:rFonts w:ascii="Arial" w:hAnsi="Arial" w:cs="Arial"/>
          <w:sz w:val="24"/>
          <w:szCs w:val="24"/>
        </w:rPr>
        <w:t xml:space="preserve"> </w:t>
      </w:r>
      <w:r w:rsidRPr="003775D4">
        <w:rPr>
          <w:rFonts w:ascii="Arial" w:hAnsi="Arial" w:cs="Arial"/>
          <w:sz w:val="24"/>
          <w:szCs w:val="24"/>
        </w:rPr>
        <w:t>Departamento Jurídico, se procedió a pagar el adeudo completo.</w:t>
      </w:r>
    </w:p>
    <w:p w:rsidR="003775D4" w:rsidRDefault="003775D4">
      <w:pPr>
        <w:rPr>
          <w:rFonts w:ascii="Arial" w:hAnsi="Arial" w:cs="Arial"/>
          <w:sz w:val="24"/>
          <w:szCs w:val="24"/>
        </w:rPr>
      </w:pPr>
    </w:p>
    <w:p w:rsidR="003775D4" w:rsidRPr="0035215E" w:rsidRDefault="003775D4">
      <w:pPr>
        <w:rPr>
          <w:rFonts w:ascii="Arial" w:hAnsi="Arial" w:cs="Arial"/>
          <w:sz w:val="24"/>
          <w:szCs w:val="24"/>
        </w:rPr>
      </w:pPr>
    </w:p>
    <w:sectPr w:rsidR="003775D4" w:rsidRPr="0035215E" w:rsidSect="00C90A85">
      <w:headerReference w:type="default" r:id="rId8"/>
      <w:pgSz w:w="12242" w:h="19442" w:code="162"/>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F73" w:rsidRDefault="00BB4F73" w:rsidP="0035215E">
      <w:pPr>
        <w:spacing w:after="0" w:line="240" w:lineRule="auto"/>
      </w:pPr>
      <w:r>
        <w:separator/>
      </w:r>
    </w:p>
  </w:endnote>
  <w:endnote w:type="continuationSeparator" w:id="0">
    <w:p w:rsidR="00BB4F73" w:rsidRDefault="00BB4F73" w:rsidP="00352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F73" w:rsidRDefault="00BB4F73" w:rsidP="0035215E">
      <w:pPr>
        <w:spacing w:after="0" w:line="240" w:lineRule="auto"/>
      </w:pPr>
      <w:r>
        <w:separator/>
      </w:r>
    </w:p>
  </w:footnote>
  <w:footnote w:type="continuationSeparator" w:id="0">
    <w:p w:rsidR="00BB4F73" w:rsidRDefault="00BB4F73" w:rsidP="003521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647"/>
      <w:gridCol w:w="5407"/>
    </w:tblGrid>
    <w:tr w:rsidR="00C90A85" w:rsidRPr="003225B5" w:rsidTr="00726AD6">
      <w:trPr>
        <w:trHeight w:val="1012"/>
      </w:trPr>
      <w:tc>
        <w:tcPr>
          <w:tcW w:w="3652" w:type="dxa"/>
          <w:shd w:val="clear" w:color="auto" w:fill="auto"/>
        </w:tcPr>
        <w:p w:rsidR="00C90A85" w:rsidRDefault="00C90A85" w:rsidP="00726AD6">
          <w:pPr>
            <w:pStyle w:val="Encabezado"/>
            <w:jc w:val="both"/>
            <w:rPr>
              <w:noProof/>
              <w:lang w:eastAsia="es-MX"/>
            </w:rPr>
          </w:pPr>
          <w:r w:rsidRPr="0002416F">
            <w:rPr>
              <w:noProof/>
              <w:lang w:eastAsia="es-MX"/>
            </w:rPr>
            <w:t xml:space="preserve">                  </w:t>
          </w:r>
        </w:p>
        <w:p w:rsidR="00C90A85" w:rsidRPr="0002416F" w:rsidRDefault="00C90A85" w:rsidP="00726AD6">
          <w:pPr>
            <w:pStyle w:val="Encabezado"/>
            <w:jc w:val="both"/>
            <w:rPr>
              <w:noProof/>
              <w:lang w:eastAsia="es-MX"/>
            </w:rPr>
          </w:pPr>
          <w:r>
            <w:rPr>
              <w:noProof/>
              <w:lang w:eastAsia="es-MX"/>
            </w:rPr>
            <w:t xml:space="preserve">             </w:t>
          </w:r>
          <w:r w:rsidRPr="0002416F">
            <w:rPr>
              <w:noProof/>
              <w:lang w:eastAsia="es-MX"/>
            </w:rPr>
            <w:t xml:space="preserve">     </w:t>
          </w:r>
          <w:r>
            <w:rPr>
              <w:noProof/>
              <w:lang w:eastAsia="es-MX"/>
            </w:rPr>
            <w:drawing>
              <wp:inline distT="0" distB="0" distL="0" distR="0" wp14:anchorId="1848EEDD" wp14:editId="41006582">
                <wp:extent cx="2147570" cy="914400"/>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7570" cy="914400"/>
                        </a:xfrm>
                        <a:prstGeom prst="rect">
                          <a:avLst/>
                        </a:prstGeom>
                        <a:noFill/>
                        <a:ln>
                          <a:noFill/>
                        </a:ln>
                      </pic:spPr>
                    </pic:pic>
                  </a:graphicData>
                </a:graphic>
              </wp:inline>
            </w:drawing>
          </w:r>
        </w:p>
      </w:tc>
      <w:tc>
        <w:tcPr>
          <w:tcW w:w="5687" w:type="dxa"/>
          <w:shd w:val="clear" w:color="auto" w:fill="auto"/>
        </w:tcPr>
        <w:p w:rsidR="00C90A85" w:rsidRPr="0002416F" w:rsidRDefault="00C90A85" w:rsidP="00726AD6">
          <w:pPr>
            <w:pStyle w:val="Encabezado"/>
            <w:rPr>
              <w:noProof/>
              <w:lang w:eastAsia="es-MX"/>
            </w:rPr>
          </w:pPr>
          <w:r>
            <w:rPr>
              <w:rFonts w:ascii="Arial" w:hAnsi="Arial" w:cs="Arial"/>
              <w:b/>
              <w:w w:val="200"/>
            </w:rPr>
            <w:t xml:space="preserve">         </w:t>
          </w:r>
          <w:r w:rsidRPr="0002416F">
            <w:rPr>
              <w:rFonts w:ascii="Arial" w:hAnsi="Arial" w:cs="Arial"/>
              <w:b/>
              <w:w w:val="200"/>
            </w:rPr>
            <w:t xml:space="preserve">                                                                                                                                       </w:t>
          </w:r>
        </w:p>
        <w:tbl>
          <w:tblPr>
            <w:tblW w:w="0" w:type="auto"/>
            <w:tblLook w:val="04A0" w:firstRow="1" w:lastRow="0" w:firstColumn="1" w:lastColumn="0" w:noHBand="0" w:noVBand="1"/>
          </w:tblPr>
          <w:tblGrid>
            <w:gridCol w:w="5191"/>
          </w:tblGrid>
          <w:tr w:rsidR="00C90A85" w:rsidRPr="0002416F" w:rsidTr="00726AD6">
            <w:trPr>
              <w:trHeight w:val="230"/>
            </w:trPr>
            <w:tc>
              <w:tcPr>
                <w:tcW w:w="5687" w:type="dxa"/>
                <w:shd w:val="clear" w:color="auto" w:fill="auto"/>
              </w:tcPr>
              <w:p w:rsidR="00C90A85" w:rsidRDefault="00C90A85" w:rsidP="00726AD6">
                <w:pPr>
                  <w:pStyle w:val="Encabezado"/>
                  <w:jc w:val="right"/>
                  <w:rPr>
                    <w:rFonts w:ascii="Arial" w:hAnsi="Arial" w:cs="Arial"/>
                    <w:b/>
                    <w:w w:val="200"/>
                  </w:rPr>
                </w:pPr>
              </w:p>
              <w:p w:rsidR="00C90A85" w:rsidRDefault="00C90A85" w:rsidP="00726AD6">
                <w:pPr>
                  <w:pStyle w:val="Encabezado"/>
                  <w:jc w:val="right"/>
                  <w:rPr>
                    <w:rFonts w:ascii="Arial" w:hAnsi="Arial" w:cs="Arial"/>
                    <w:b/>
                    <w:w w:val="200"/>
                  </w:rPr>
                </w:pPr>
              </w:p>
              <w:p w:rsidR="00C90A85" w:rsidRDefault="00C90A85" w:rsidP="00726AD6">
                <w:pPr>
                  <w:pStyle w:val="Encabezado"/>
                  <w:jc w:val="right"/>
                  <w:rPr>
                    <w:rFonts w:ascii="Arial" w:hAnsi="Arial" w:cs="Arial"/>
                    <w:b/>
                    <w:w w:val="200"/>
                  </w:rPr>
                </w:pPr>
              </w:p>
              <w:p w:rsidR="00C90A85" w:rsidRPr="0002416F" w:rsidRDefault="00C90A85" w:rsidP="00726AD6">
                <w:pPr>
                  <w:pStyle w:val="Encabezado"/>
                  <w:jc w:val="right"/>
                  <w:rPr>
                    <w:noProof/>
                    <w:lang w:eastAsia="es-MX"/>
                  </w:rPr>
                </w:pPr>
                <w:r>
                  <w:rPr>
                    <w:rFonts w:ascii="Arial" w:hAnsi="Arial" w:cs="Arial"/>
                    <w:b/>
                    <w:w w:val="200"/>
                  </w:rPr>
                  <w:t>A</w:t>
                </w:r>
                <w:r w:rsidRPr="0002416F">
                  <w:rPr>
                    <w:rFonts w:ascii="Arial" w:hAnsi="Arial" w:cs="Arial"/>
                    <w:b/>
                    <w:w w:val="200"/>
                  </w:rPr>
                  <w:t>nexo Of. DGP/</w:t>
                </w:r>
                <w:r>
                  <w:rPr>
                    <w:rFonts w:ascii="Arial" w:hAnsi="Arial" w:cs="Arial"/>
                    <w:b/>
                    <w:w w:val="200"/>
                  </w:rPr>
                  <w:t>4558/18</w:t>
                </w:r>
                <w:r w:rsidRPr="0002416F">
                  <w:rPr>
                    <w:rFonts w:ascii="Arial" w:hAnsi="Arial" w:cs="Arial"/>
                    <w:b/>
                    <w:w w:val="200"/>
                  </w:rPr>
                  <w:t xml:space="preserve">                                                                                                                                                             </w:t>
                </w:r>
              </w:p>
            </w:tc>
          </w:tr>
          <w:tr w:rsidR="00C90A85" w:rsidRPr="0002416F" w:rsidTr="00726AD6">
            <w:trPr>
              <w:trHeight w:val="80"/>
            </w:trPr>
            <w:tc>
              <w:tcPr>
                <w:tcW w:w="5687" w:type="dxa"/>
                <w:shd w:val="clear" w:color="auto" w:fill="auto"/>
              </w:tcPr>
              <w:p w:rsidR="00C90A85" w:rsidRPr="006D4A49" w:rsidRDefault="00C90A85" w:rsidP="00726AD6">
                <w:pPr>
                  <w:pStyle w:val="Encabezado"/>
                  <w:jc w:val="center"/>
                  <w:rPr>
                    <w:noProof/>
                    <w:sz w:val="4"/>
                    <w:szCs w:val="4"/>
                    <w:lang w:eastAsia="es-MX"/>
                  </w:rPr>
                </w:pPr>
              </w:p>
            </w:tc>
          </w:tr>
        </w:tbl>
        <w:p w:rsidR="00C90A85" w:rsidRPr="003225B5" w:rsidRDefault="00C90A85" w:rsidP="00726AD6">
          <w:pPr>
            <w:pStyle w:val="Encabezado"/>
            <w:rPr>
              <w:rFonts w:ascii="Arial Rounded MT Bold" w:hAnsi="Arial Rounded MT Bold"/>
              <w:noProof/>
              <w:lang w:eastAsia="es-MX"/>
            </w:rPr>
          </w:pPr>
        </w:p>
      </w:tc>
    </w:tr>
  </w:tbl>
  <w:p w:rsidR="00C90A85" w:rsidRDefault="00C90A85" w:rsidP="0035215E">
    <w:pPr>
      <w:pStyle w:val="Encabezado"/>
      <w:jc w:val="center"/>
      <w:rPr>
        <w:rFonts w:ascii="Arial" w:hAnsi="Arial" w:cs="Arial"/>
        <w:b/>
        <w:sz w:val="24"/>
        <w:szCs w:val="24"/>
      </w:rPr>
    </w:pPr>
  </w:p>
  <w:p w:rsidR="0035215E" w:rsidRDefault="0035215E" w:rsidP="0035215E">
    <w:pPr>
      <w:pStyle w:val="Encabezado"/>
      <w:jc w:val="center"/>
      <w:rPr>
        <w:rFonts w:ascii="Arial" w:hAnsi="Arial" w:cs="Arial"/>
        <w:b/>
        <w:sz w:val="24"/>
        <w:szCs w:val="24"/>
      </w:rPr>
    </w:pPr>
    <w:r w:rsidRPr="0035215E">
      <w:rPr>
        <w:rFonts w:ascii="Arial" w:hAnsi="Arial" w:cs="Arial"/>
        <w:b/>
        <w:sz w:val="24"/>
        <w:szCs w:val="24"/>
      </w:rPr>
      <w:t>INSITUTO DE FORMACION PARA EL TRABAJO      IDEFT</w:t>
    </w:r>
  </w:p>
  <w:p w:rsidR="0035215E" w:rsidRPr="0035215E" w:rsidRDefault="0035215E" w:rsidP="0035215E">
    <w:pPr>
      <w:pStyle w:val="Encabezado"/>
      <w:jc w:val="center"/>
      <w:rPr>
        <w:rFonts w:ascii="Arial" w:hAnsi="Arial" w:cs="Arial"/>
        <w:b/>
        <w:sz w:val="24"/>
        <w:szCs w:val="24"/>
      </w:rPr>
    </w:pPr>
    <w:r>
      <w:rPr>
        <w:rFonts w:ascii="Arial" w:hAnsi="Arial" w:cs="Arial"/>
        <w:b/>
        <w:sz w:val="24"/>
        <w:szCs w:val="24"/>
      </w:rPr>
      <w:t>RESPUESTAS DE OBSERVACIONES DE INFORME DE AUDITORIA 2016</w:t>
    </w:r>
  </w:p>
  <w:p w:rsidR="0035215E" w:rsidRDefault="0035215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C341A"/>
    <w:multiLevelType w:val="hybridMultilevel"/>
    <w:tmpl w:val="2E805B70"/>
    <w:lvl w:ilvl="0" w:tplc="415A9632">
      <w:start w:val="10"/>
      <w:numFmt w:val="decimal"/>
      <w:lvlText w:val="%1."/>
      <w:lvlJc w:val="left"/>
      <w:pPr>
        <w:tabs>
          <w:tab w:val="num" w:pos="720"/>
        </w:tabs>
        <w:ind w:left="720" w:hanging="360"/>
      </w:pPr>
    </w:lvl>
    <w:lvl w:ilvl="1" w:tplc="ABDCA7D4">
      <w:start w:val="1"/>
      <w:numFmt w:val="decimal"/>
      <w:lvlText w:val="%2."/>
      <w:lvlJc w:val="left"/>
      <w:pPr>
        <w:tabs>
          <w:tab w:val="num" w:pos="1440"/>
        </w:tabs>
        <w:ind w:left="1440" w:hanging="360"/>
      </w:pPr>
    </w:lvl>
    <w:lvl w:ilvl="2" w:tplc="F6F83524" w:tentative="1">
      <w:start w:val="1"/>
      <w:numFmt w:val="decimal"/>
      <w:lvlText w:val="%3."/>
      <w:lvlJc w:val="left"/>
      <w:pPr>
        <w:tabs>
          <w:tab w:val="num" w:pos="2160"/>
        </w:tabs>
        <w:ind w:left="2160" w:hanging="360"/>
      </w:pPr>
    </w:lvl>
    <w:lvl w:ilvl="3" w:tplc="EE52767C" w:tentative="1">
      <w:start w:val="1"/>
      <w:numFmt w:val="decimal"/>
      <w:lvlText w:val="%4."/>
      <w:lvlJc w:val="left"/>
      <w:pPr>
        <w:tabs>
          <w:tab w:val="num" w:pos="2880"/>
        </w:tabs>
        <w:ind w:left="2880" w:hanging="360"/>
      </w:pPr>
    </w:lvl>
    <w:lvl w:ilvl="4" w:tplc="05E459B8" w:tentative="1">
      <w:start w:val="1"/>
      <w:numFmt w:val="decimal"/>
      <w:lvlText w:val="%5."/>
      <w:lvlJc w:val="left"/>
      <w:pPr>
        <w:tabs>
          <w:tab w:val="num" w:pos="3600"/>
        </w:tabs>
        <w:ind w:left="3600" w:hanging="360"/>
      </w:pPr>
    </w:lvl>
    <w:lvl w:ilvl="5" w:tplc="3EBAE8DC" w:tentative="1">
      <w:start w:val="1"/>
      <w:numFmt w:val="decimal"/>
      <w:lvlText w:val="%6."/>
      <w:lvlJc w:val="left"/>
      <w:pPr>
        <w:tabs>
          <w:tab w:val="num" w:pos="4320"/>
        </w:tabs>
        <w:ind w:left="4320" w:hanging="360"/>
      </w:pPr>
    </w:lvl>
    <w:lvl w:ilvl="6" w:tplc="E47C0270" w:tentative="1">
      <w:start w:val="1"/>
      <w:numFmt w:val="decimal"/>
      <w:lvlText w:val="%7."/>
      <w:lvlJc w:val="left"/>
      <w:pPr>
        <w:tabs>
          <w:tab w:val="num" w:pos="5040"/>
        </w:tabs>
        <w:ind w:left="5040" w:hanging="360"/>
      </w:pPr>
    </w:lvl>
    <w:lvl w:ilvl="7" w:tplc="C4D6D56A" w:tentative="1">
      <w:start w:val="1"/>
      <w:numFmt w:val="decimal"/>
      <w:lvlText w:val="%8."/>
      <w:lvlJc w:val="left"/>
      <w:pPr>
        <w:tabs>
          <w:tab w:val="num" w:pos="5760"/>
        </w:tabs>
        <w:ind w:left="5760" w:hanging="360"/>
      </w:pPr>
    </w:lvl>
    <w:lvl w:ilvl="8" w:tplc="CF00A86C" w:tentative="1">
      <w:start w:val="1"/>
      <w:numFmt w:val="decimal"/>
      <w:lvlText w:val="%9."/>
      <w:lvlJc w:val="left"/>
      <w:pPr>
        <w:tabs>
          <w:tab w:val="num" w:pos="6480"/>
        </w:tabs>
        <w:ind w:left="6480" w:hanging="360"/>
      </w:pPr>
    </w:lvl>
  </w:abstractNum>
  <w:abstractNum w:abstractNumId="1">
    <w:nsid w:val="76FD29F6"/>
    <w:multiLevelType w:val="hybridMultilevel"/>
    <w:tmpl w:val="F94C665A"/>
    <w:lvl w:ilvl="0" w:tplc="FED6E452">
      <w:start w:val="1"/>
      <w:numFmt w:val="lowerLetter"/>
      <w:lvlText w:val="%1)"/>
      <w:lvlJc w:val="left"/>
      <w:pPr>
        <w:tabs>
          <w:tab w:val="num" w:pos="720"/>
        </w:tabs>
        <w:ind w:left="720" w:hanging="360"/>
      </w:pPr>
    </w:lvl>
    <w:lvl w:ilvl="1" w:tplc="C9EC0F10" w:tentative="1">
      <w:start w:val="1"/>
      <w:numFmt w:val="lowerLetter"/>
      <w:lvlText w:val="%2)"/>
      <w:lvlJc w:val="left"/>
      <w:pPr>
        <w:tabs>
          <w:tab w:val="num" w:pos="1440"/>
        </w:tabs>
        <w:ind w:left="1440" w:hanging="360"/>
      </w:pPr>
    </w:lvl>
    <w:lvl w:ilvl="2" w:tplc="17D6E9CC">
      <w:start w:val="1"/>
      <w:numFmt w:val="lowerLetter"/>
      <w:lvlText w:val="%3)"/>
      <w:lvlJc w:val="left"/>
      <w:pPr>
        <w:tabs>
          <w:tab w:val="num" w:pos="2160"/>
        </w:tabs>
        <w:ind w:left="2160" w:hanging="360"/>
      </w:pPr>
    </w:lvl>
    <w:lvl w:ilvl="3" w:tplc="E48093E2" w:tentative="1">
      <w:start w:val="1"/>
      <w:numFmt w:val="lowerLetter"/>
      <w:lvlText w:val="%4)"/>
      <w:lvlJc w:val="left"/>
      <w:pPr>
        <w:tabs>
          <w:tab w:val="num" w:pos="2880"/>
        </w:tabs>
        <w:ind w:left="2880" w:hanging="360"/>
      </w:pPr>
    </w:lvl>
    <w:lvl w:ilvl="4" w:tplc="B1D016A4" w:tentative="1">
      <w:start w:val="1"/>
      <w:numFmt w:val="lowerLetter"/>
      <w:lvlText w:val="%5)"/>
      <w:lvlJc w:val="left"/>
      <w:pPr>
        <w:tabs>
          <w:tab w:val="num" w:pos="3600"/>
        </w:tabs>
        <w:ind w:left="3600" w:hanging="360"/>
      </w:pPr>
    </w:lvl>
    <w:lvl w:ilvl="5" w:tplc="F3242E02" w:tentative="1">
      <w:start w:val="1"/>
      <w:numFmt w:val="lowerLetter"/>
      <w:lvlText w:val="%6)"/>
      <w:lvlJc w:val="left"/>
      <w:pPr>
        <w:tabs>
          <w:tab w:val="num" w:pos="4320"/>
        </w:tabs>
        <w:ind w:left="4320" w:hanging="360"/>
      </w:pPr>
    </w:lvl>
    <w:lvl w:ilvl="6" w:tplc="8154EA8A" w:tentative="1">
      <w:start w:val="1"/>
      <w:numFmt w:val="lowerLetter"/>
      <w:lvlText w:val="%7)"/>
      <w:lvlJc w:val="left"/>
      <w:pPr>
        <w:tabs>
          <w:tab w:val="num" w:pos="5040"/>
        </w:tabs>
        <w:ind w:left="5040" w:hanging="360"/>
      </w:pPr>
    </w:lvl>
    <w:lvl w:ilvl="7" w:tplc="52D8C044" w:tentative="1">
      <w:start w:val="1"/>
      <w:numFmt w:val="lowerLetter"/>
      <w:lvlText w:val="%8)"/>
      <w:lvlJc w:val="left"/>
      <w:pPr>
        <w:tabs>
          <w:tab w:val="num" w:pos="5760"/>
        </w:tabs>
        <w:ind w:left="5760" w:hanging="360"/>
      </w:pPr>
    </w:lvl>
    <w:lvl w:ilvl="8" w:tplc="6A32981A" w:tentative="1">
      <w:start w:val="1"/>
      <w:numFmt w:val="lowerLetter"/>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15E"/>
    <w:rsid w:val="00095E4D"/>
    <w:rsid w:val="00261667"/>
    <w:rsid w:val="002D38CD"/>
    <w:rsid w:val="0035215E"/>
    <w:rsid w:val="003775D4"/>
    <w:rsid w:val="004128DC"/>
    <w:rsid w:val="005F2ADB"/>
    <w:rsid w:val="00BB4F73"/>
    <w:rsid w:val="00C90A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5215E"/>
    <w:pPr>
      <w:tabs>
        <w:tab w:val="center" w:pos="4419"/>
        <w:tab w:val="right" w:pos="8838"/>
      </w:tabs>
      <w:spacing w:after="0" w:line="240" w:lineRule="auto"/>
    </w:pPr>
  </w:style>
  <w:style w:type="character" w:customStyle="1" w:styleId="EncabezadoCar">
    <w:name w:val="Encabezado Car"/>
    <w:basedOn w:val="Fuentedeprrafopredeter"/>
    <w:link w:val="Encabezado"/>
    <w:rsid w:val="0035215E"/>
  </w:style>
  <w:style w:type="paragraph" w:styleId="Piedepgina">
    <w:name w:val="footer"/>
    <w:basedOn w:val="Normal"/>
    <w:link w:val="PiedepginaCar"/>
    <w:uiPriority w:val="99"/>
    <w:unhideWhenUsed/>
    <w:rsid w:val="003521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5215E"/>
  </w:style>
  <w:style w:type="character" w:styleId="Nmerodepgina">
    <w:name w:val="page number"/>
    <w:basedOn w:val="Fuentedeprrafopredeter"/>
    <w:rsid w:val="00C90A85"/>
  </w:style>
  <w:style w:type="paragraph" w:styleId="Textodeglobo">
    <w:name w:val="Balloon Text"/>
    <w:basedOn w:val="Normal"/>
    <w:link w:val="TextodegloboCar"/>
    <w:uiPriority w:val="99"/>
    <w:semiHidden/>
    <w:unhideWhenUsed/>
    <w:rsid w:val="00C90A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0A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5215E"/>
    <w:pPr>
      <w:tabs>
        <w:tab w:val="center" w:pos="4419"/>
        <w:tab w:val="right" w:pos="8838"/>
      </w:tabs>
      <w:spacing w:after="0" w:line="240" w:lineRule="auto"/>
    </w:pPr>
  </w:style>
  <w:style w:type="character" w:customStyle="1" w:styleId="EncabezadoCar">
    <w:name w:val="Encabezado Car"/>
    <w:basedOn w:val="Fuentedeprrafopredeter"/>
    <w:link w:val="Encabezado"/>
    <w:rsid w:val="0035215E"/>
  </w:style>
  <w:style w:type="paragraph" w:styleId="Piedepgina">
    <w:name w:val="footer"/>
    <w:basedOn w:val="Normal"/>
    <w:link w:val="PiedepginaCar"/>
    <w:uiPriority w:val="99"/>
    <w:unhideWhenUsed/>
    <w:rsid w:val="003521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5215E"/>
  </w:style>
  <w:style w:type="character" w:styleId="Nmerodepgina">
    <w:name w:val="page number"/>
    <w:basedOn w:val="Fuentedeprrafopredeter"/>
    <w:rsid w:val="00C90A85"/>
  </w:style>
  <w:style w:type="paragraph" w:styleId="Textodeglobo">
    <w:name w:val="Balloon Text"/>
    <w:basedOn w:val="Normal"/>
    <w:link w:val="TextodegloboCar"/>
    <w:uiPriority w:val="99"/>
    <w:semiHidden/>
    <w:unhideWhenUsed/>
    <w:rsid w:val="00C90A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0A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440457">
      <w:bodyDiv w:val="1"/>
      <w:marLeft w:val="0"/>
      <w:marRight w:val="0"/>
      <w:marTop w:val="0"/>
      <w:marBottom w:val="0"/>
      <w:divBdr>
        <w:top w:val="none" w:sz="0" w:space="0" w:color="auto"/>
        <w:left w:val="none" w:sz="0" w:space="0" w:color="auto"/>
        <w:bottom w:val="none" w:sz="0" w:space="0" w:color="auto"/>
        <w:right w:val="none" w:sz="0" w:space="0" w:color="auto"/>
      </w:divBdr>
      <w:divsChild>
        <w:div w:id="618221950">
          <w:marLeft w:val="29"/>
          <w:marRight w:val="29"/>
          <w:marTop w:val="1"/>
          <w:marBottom w:val="0"/>
          <w:divBdr>
            <w:top w:val="none" w:sz="0" w:space="0" w:color="auto"/>
            <w:left w:val="none" w:sz="0" w:space="0" w:color="auto"/>
            <w:bottom w:val="none" w:sz="0" w:space="0" w:color="auto"/>
            <w:right w:val="none" w:sz="0" w:space="0" w:color="auto"/>
          </w:divBdr>
        </w:div>
        <w:div w:id="1190534239">
          <w:marLeft w:val="778"/>
          <w:marRight w:val="14"/>
          <w:marTop w:val="1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994</Words>
  <Characters>5469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 Angeles Maga</dc:creator>
  <cp:keywords/>
  <dc:description/>
  <cp:lastModifiedBy>Angelina Paniagua</cp:lastModifiedBy>
  <cp:revision>3</cp:revision>
  <cp:lastPrinted>2018-11-09T16:53:00Z</cp:lastPrinted>
  <dcterms:created xsi:type="dcterms:W3CDTF">2018-09-11T16:21:00Z</dcterms:created>
  <dcterms:modified xsi:type="dcterms:W3CDTF">2018-11-09T16:54:00Z</dcterms:modified>
</cp:coreProperties>
</file>