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01A" w:rsidRPr="006F501A" w:rsidRDefault="006F501A" w:rsidP="006F501A">
      <w:pPr>
        <w:jc w:val="both"/>
        <w:rPr>
          <w:rFonts w:ascii="Arial" w:hAnsi="Arial" w:cs="Arial"/>
          <w:b/>
          <w:sz w:val="20"/>
          <w:szCs w:val="20"/>
        </w:rPr>
      </w:pPr>
      <w:bookmarkStart w:id="0" w:name="_GoBack"/>
      <w:bookmarkEnd w:id="0"/>
      <w:r w:rsidRPr="006F501A">
        <w:rPr>
          <w:rFonts w:ascii="Arial" w:hAnsi="Arial" w:cs="Arial"/>
          <w:sz w:val="20"/>
          <w:szCs w:val="20"/>
        </w:rPr>
        <w:t xml:space="preserve">Copia fotostática del memorando No. DC/005/2018, emitido por el Titular de la Dirección Comercial de este Organismo, acompañado con la información descrita en el mismo, en formato digital e impreso, correspondiente a la Observación No. 2.2 inciso a) </w:t>
      </w:r>
      <w:r w:rsidRPr="006F501A">
        <w:rPr>
          <w:rFonts w:ascii="Arial" w:hAnsi="Arial" w:cs="Arial"/>
          <w:b/>
          <w:sz w:val="20"/>
          <w:szCs w:val="20"/>
        </w:rPr>
        <w:t>ANEXO 4.</w:t>
      </w:r>
    </w:p>
    <w:p w:rsidR="006F501A" w:rsidRPr="006F501A" w:rsidRDefault="006F501A" w:rsidP="006F501A">
      <w:pPr>
        <w:pStyle w:val="Ttulo1"/>
        <w:rPr>
          <w:rFonts w:ascii="Arial" w:hAnsi="Arial" w:cs="Arial"/>
          <w:b/>
          <w:color w:val="000000" w:themeColor="text1"/>
          <w:sz w:val="20"/>
          <w:szCs w:val="20"/>
        </w:rPr>
      </w:pPr>
      <w:r w:rsidRPr="006F501A">
        <w:rPr>
          <w:rFonts w:ascii="Arial" w:hAnsi="Arial" w:cs="Arial"/>
          <w:b/>
          <w:color w:val="000000" w:themeColor="text1"/>
          <w:sz w:val="20"/>
          <w:szCs w:val="20"/>
        </w:rPr>
        <w:t>ANEXO 4</w:t>
      </w:r>
    </w:p>
    <w:p w:rsidR="006F501A" w:rsidRPr="006F501A" w:rsidRDefault="006F501A" w:rsidP="006F501A">
      <w:pPr>
        <w:pStyle w:val="Ttulo2"/>
        <w:rPr>
          <w:rFonts w:ascii="Arial" w:hAnsi="Arial" w:cs="Arial"/>
          <w:b/>
          <w:color w:val="000000" w:themeColor="text1"/>
          <w:sz w:val="20"/>
          <w:szCs w:val="20"/>
        </w:rPr>
      </w:pPr>
      <w:r w:rsidRPr="006F501A">
        <w:rPr>
          <w:rFonts w:ascii="Arial" w:hAnsi="Arial" w:cs="Arial"/>
          <w:color w:val="000000" w:themeColor="text1"/>
          <w:sz w:val="20"/>
          <w:szCs w:val="20"/>
        </w:rPr>
        <w:t>Respuesta a la Observación No: 2.2</w:t>
      </w:r>
    </w:p>
    <w:p w:rsidR="006F501A" w:rsidRPr="006F501A" w:rsidRDefault="006F501A" w:rsidP="006F501A">
      <w:pPr>
        <w:rPr>
          <w:rFonts w:ascii="Arial" w:hAnsi="Arial" w:cs="Arial"/>
          <w:b/>
          <w:sz w:val="20"/>
          <w:szCs w:val="20"/>
        </w:rPr>
      </w:pPr>
      <w:r w:rsidRPr="006F501A">
        <w:rPr>
          <w:rFonts w:ascii="Arial" w:hAnsi="Arial" w:cs="Arial"/>
          <w:sz w:val="20"/>
          <w:szCs w:val="20"/>
        </w:rPr>
        <w:t>MEMO DC/005/2018                                                                                                                                      Remitido por: ING. MIGUEL ÁNGEL GUTIÉRREZ VELÁZQUEZ                                                           DIRECTOR COMERCIAL.</w:t>
      </w:r>
    </w:p>
    <w:p w:rsidR="006F501A" w:rsidRPr="006F501A" w:rsidRDefault="006F501A" w:rsidP="006F501A">
      <w:pPr>
        <w:jc w:val="both"/>
        <w:rPr>
          <w:rFonts w:ascii="Arial" w:hAnsi="Arial" w:cs="Arial"/>
          <w:sz w:val="20"/>
          <w:szCs w:val="20"/>
        </w:rPr>
      </w:pPr>
      <w:r w:rsidRPr="006F501A">
        <w:rPr>
          <w:rFonts w:ascii="Arial" w:hAnsi="Arial" w:cs="Arial"/>
          <w:sz w:val="20"/>
          <w:szCs w:val="20"/>
        </w:rPr>
        <w:t xml:space="preserve">Me refiero al Memorando No. OCV/936/2017 mediante el cual canalizó fotocopia de Oficio 6835-DGJ/2017 signado por la Lic. María Teresa Brito Serrano Contralora del Estado, relativo a la auditoría que fue practicada al Organismo a los rubros de “Fondos Fijos, Cuentas por Cobrar y Activo Fijo” correspondiente al período del 01 de julio al 30 de septiembre de 2014 según </w:t>
      </w:r>
      <w:r w:rsidRPr="006F501A">
        <w:rPr>
          <w:rFonts w:ascii="Arial" w:hAnsi="Arial" w:cs="Arial"/>
          <w:b/>
          <w:sz w:val="20"/>
          <w:szCs w:val="20"/>
        </w:rPr>
        <w:t xml:space="preserve">Observación No. 2.2 </w:t>
      </w:r>
      <w:r w:rsidRPr="006F501A">
        <w:rPr>
          <w:rFonts w:ascii="Arial" w:hAnsi="Arial" w:cs="Arial"/>
          <w:sz w:val="20"/>
          <w:szCs w:val="20"/>
        </w:rPr>
        <w:t>al respecto informo lo siguiente:</w:t>
      </w:r>
    </w:p>
    <w:p w:rsidR="006F501A" w:rsidRPr="006F501A" w:rsidRDefault="006F501A" w:rsidP="006F501A">
      <w:pPr>
        <w:jc w:val="both"/>
        <w:rPr>
          <w:rFonts w:ascii="Arial" w:hAnsi="Arial" w:cs="Arial"/>
          <w:sz w:val="20"/>
          <w:szCs w:val="20"/>
        </w:rPr>
      </w:pPr>
      <w:r w:rsidRPr="006F501A">
        <w:rPr>
          <w:rFonts w:ascii="Arial" w:hAnsi="Arial" w:cs="Arial"/>
          <w:sz w:val="20"/>
          <w:szCs w:val="20"/>
        </w:rPr>
        <w:t>La Dirección Comercial no prescribe adeudos de forma sistemática, destacando que sólo se aplica a petición de parte.</w:t>
      </w:r>
    </w:p>
    <w:p w:rsidR="006F501A" w:rsidRPr="006F501A" w:rsidRDefault="006F501A" w:rsidP="006F501A">
      <w:pPr>
        <w:jc w:val="both"/>
        <w:rPr>
          <w:rFonts w:ascii="Arial" w:hAnsi="Arial" w:cs="Arial"/>
          <w:sz w:val="20"/>
          <w:szCs w:val="20"/>
          <w:u w:val="single"/>
        </w:rPr>
      </w:pPr>
      <w:r w:rsidRPr="006F501A">
        <w:rPr>
          <w:rFonts w:ascii="Arial" w:hAnsi="Arial" w:cs="Arial"/>
          <w:sz w:val="20"/>
          <w:szCs w:val="20"/>
          <w:u w:val="single"/>
        </w:rPr>
        <w:t>ANEXO 1</w:t>
      </w:r>
    </w:p>
    <w:p w:rsidR="006F501A" w:rsidRPr="006F501A" w:rsidRDefault="006F501A" w:rsidP="006F501A">
      <w:pPr>
        <w:jc w:val="both"/>
        <w:rPr>
          <w:rFonts w:ascii="Arial" w:hAnsi="Arial" w:cs="Arial"/>
          <w:sz w:val="20"/>
          <w:szCs w:val="20"/>
        </w:rPr>
      </w:pPr>
      <w:r w:rsidRPr="006F501A">
        <w:rPr>
          <w:rFonts w:ascii="Arial" w:hAnsi="Arial" w:cs="Arial"/>
          <w:sz w:val="20"/>
          <w:szCs w:val="20"/>
        </w:rPr>
        <w:t>Fotocopia del Manual de Políticas comerciales versión 1.0 de fecha Agosto 2011 el cual consta de 42 páginas sólo en su anverso, destacando que en el año 2014 fue el documento que estuvo vigente.</w:t>
      </w:r>
    </w:p>
    <w:p w:rsidR="006F501A" w:rsidRPr="006F501A" w:rsidRDefault="006F501A" w:rsidP="006F501A">
      <w:pPr>
        <w:jc w:val="both"/>
        <w:rPr>
          <w:rFonts w:ascii="Arial" w:hAnsi="Arial" w:cs="Arial"/>
          <w:sz w:val="20"/>
          <w:szCs w:val="20"/>
        </w:rPr>
      </w:pPr>
      <w:r w:rsidRPr="006F501A">
        <w:rPr>
          <w:rFonts w:ascii="Arial" w:hAnsi="Arial" w:cs="Arial"/>
          <w:sz w:val="20"/>
          <w:szCs w:val="20"/>
        </w:rPr>
        <w:t xml:space="preserve">Asimismo con base al Reglamento Interno del Sistema Intermunicipal de los Servicios de Agua Potable y Alcantarillado de fecha 3 de abril de 2014 y según las atribuciones y obligaciones delegadas por la Dirección General del este Organismo la Dirección Comercial tiene </w:t>
      </w:r>
      <w:proofErr w:type="gramStart"/>
      <w:r w:rsidRPr="006F501A">
        <w:rPr>
          <w:rFonts w:ascii="Arial" w:hAnsi="Arial" w:cs="Arial"/>
          <w:sz w:val="20"/>
          <w:szCs w:val="20"/>
        </w:rPr>
        <w:t>las siguiente atribución</w:t>
      </w:r>
      <w:proofErr w:type="gramEnd"/>
      <w:r w:rsidRPr="006F501A">
        <w:rPr>
          <w:rFonts w:ascii="Arial" w:hAnsi="Arial" w:cs="Arial"/>
          <w:sz w:val="20"/>
          <w:szCs w:val="20"/>
        </w:rPr>
        <w:t>:</w:t>
      </w:r>
    </w:p>
    <w:p w:rsidR="006F501A" w:rsidRPr="006F501A" w:rsidRDefault="006F501A" w:rsidP="006F501A">
      <w:pPr>
        <w:jc w:val="both"/>
        <w:rPr>
          <w:rFonts w:ascii="Arial" w:hAnsi="Arial" w:cs="Arial"/>
          <w:sz w:val="20"/>
          <w:szCs w:val="20"/>
        </w:rPr>
      </w:pPr>
      <w:r w:rsidRPr="006F501A">
        <w:rPr>
          <w:rFonts w:ascii="Arial" w:hAnsi="Arial" w:cs="Arial"/>
          <w:sz w:val="20"/>
          <w:szCs w:val="20"/>
        </w:rPr>
        <w:t>Artículo 57</w:t>
      </w:r>
      <w:r w:rsidRPr="006F501A">
        <w:rPr>
          <w:rFonts w:ascii="Arial" w:hAnsi="Arial" w:cs="Arial"/>
          <w:sz w:val="20"/>
          <w:szCs w:val="20"/>
        </w:rPr>
        <w:tab/>
        <w:t>La Dirección Comercial tendrá las siguientes atribuciones:</w:t>
      </w:r>
    </w:p>
    <w:p w:rsidR="006F501A" w:rsidRPr="006F501A" w:rsidRDefault="006F501A" w:rsidP="006F501A">
      <w:pPr>
        <w:jc w:val="both"/>
        <w:rPr>
          <w:rFonts w:ascii="Arial" w:hAnsi="Arial" w:cs="Arial"/>
          <w:sz w:val="20"/>
          <w:szCs w:val="20"/>
        </w:rPr>
      </w:pPr>
      <w:r w:rsidRPr="006F501A">
        <w:rPr>
          <w:rFonts w:ascii="Arial" w:hAnsi="Arial" w:cs="Arial"/>
          <w:b/>
          <w:sz w:val="20"/>
          <w:szCs w:val="20"/>
        </w:rPr>
        <w:t>Inciso V</w:t>
      </w:r>
      <w:r w:rsidRPr="006F501A">
        <w:rPr>
          <w:rFonts w:ascii="Arial" w:hAnsi="Arial" w:cs="Arial"/>
          <w:b/>
          <w:sz w:val="20"/>
          <w:szCs w:val="20"/>
        </w:rPr>
        <w:tab/>
      </w:r>
      <w:r w:rsidRPr="006F501A">
        <w:rPr>
          <w:rFonts w:ascii="Arial" w:hAnsi="Arial" w:cs="Arial"/>
          <w:sz w:val="20"/>
          <w:szCs w:val="20"/>
        </w:rPr>
        <w:t>Promover y asegurar la recuperación de la cartera por cobrar del organismo; a                 través de la socialización y la implementación de diversas acciones, realizando  convenios y autorizando planes de pago;</w:t>
      </w:r>
    </w:p>
    <w:p w:rsidR="006F501A" w:rsidRPr="006F501A" w:rsidRDefault="006F501A" w:rsidP="006F501A">
      <w:pPr>
        <w:jc w:val="both"/>
        <w:rPr>
          <w:rFonts w:ascii="Arial" w:hAnsi="Arial" w:cs="Arial"/>
          <w:b/>
          <w:sz w:val="20"/>
          <w:szCs w:val="20"/>
        </w:rPr>
      </w:pPr>
      <w:r w:rsidRPr="006F501A">
        <w:rPr>
          <w:rFonts w:ascii="Arial" w:hAnsi="Arial" w:cs="Arial"/>
          <w:b/>
          <w:sz w:val="20"/>
          <w:szCs w:val="20"/>
        </w:rPr>
        <w:t>Inciso XIV</w:t>
      </w:r>
      <w:r w:rsidRPr="006F501A">
        <w:rPr>
          <w:rFonts w:ascii="Arial" w:hAnsi="Arial" w:cs="Arial"/>
          <w:b/>
          <w:sz w:val="20"/>
          <w:szCs w:val="20"/>
        </w:rPr>
        <w:tab/>
      </w:r>
      <w:r w:rsidRPr="006F501A">
        <w:rPr>
          <w:rFonts w:ascii="Arial" w:hAnsi="Arial" w:cs="Arial"/>
          <w:sz w:val="20"/>
          <w:szCs w:val="20"/>
        </w:rPr>
        <w:t xml:space="preserve">Cubrir las comisiones y </w:t>
      </w:r>
      <w:r w:rsidRPr="006F501A">
        <w:rPr>
          <w:rFonts w:ascii="Arial" w:hAnsi="Arial" w:cs="Arial"/>
          <w:b/>
          <w:sz w:val="20"/>
          <w:szCs w:val="20"/>
        </w:rPr>
        <w:t>trabajos especiales que le asigne la Dirección General.</w:t>
      </w:r>
    </w:p>
    <w:p w:rsidR="006F501A" w:rsidRPr="006F501A" w:rsidRDefault="006F501A" w:rsidP="006F501A">
      <w:pPr>
        <w:jc w:val="both"/>
        <w:rPr>
          <w:rFonts w:ascii="Arial" w:hAnsi="Arial" w:cs="Arial"/>
          <w:sz w:val="20"/>
          <w:szCs w:val="20"/>
        </w:rPr>
      </w:pPr>
      <w:r w:rsidRPr="006F501A">
        <w:rPr>
          <w:rFonts w:ascii="Arial" w:hAnsi="Arial" w:cs="Arial"/>
          <w:sz w:val="20"/>
          <w:szCs w:val="20"/>
        </w:rPr>
        <w:t>En este tenor:</w:t>
      </w:r>
    </w:p>
    <w:p w:rsidR="006F501A" w:rsidRPr="006F501A" w:rsidRDefault="006F501A" w:rsidP="006F501A">
      <w:pPr>
        <w:jc w:val="both"/>
        <w:rPr>
          <w:rFonts w:ascii="Arial" w:hAnsi="Arial" w:cs="Arial"/>
          <w:sz w:val="20"/>
          <w:szCs w:val="20"/>
        </w:rPr>
      </w:pPr>
      <w:r w:rsidRPr="006F501A">
        <w:rPr>
          <w:rFonts w:ascii="Arial" w:hAnsi="Arial" w:cs="Arial"/>
          <w:sz w:val="20"/>
          <w:szCs w:val="20"/>
        </w:rPr>
        <w:t>Artículo 64</w:t>
      </w:r>
      <w:r w:rsidRPr="006F501A">
        <w:rPr>
          <w:rFonts w:ascii="Arial" w:hAnsi="Arial" w:cs="Arial"/>
          <w:sz w:val="20"/>
          <w:szCs w:val="20"/>
        </w:rPr>
        <w:tab/>
        <w:t>La Subdirección de Servicio al Cliente y Cobranza contará con las siguientes atribuciones:</w:t>
      </w:r>
    </w:p>
    <w:p w:rsidR="006F501A" w:rsidRPr="006F501A" w:rsidRDefault="006F501A" w:rsidP="006F501A">
      <w:pPr>
        <w:jc w:val="both"/>
        <w:rPr>
          <w:rFonts w:ascii="Arial" w:hAnsi="Arial" w:cs="Arial"/>
          <w:sz w:val="20"/>
          <w:szCs w:val="20"/>
        </w:rPr>
      </w:pPr>
      <w:r w:rsidRPr="006F501A">
        <w:rPr>
          <w:rFonts w:ascii="Arial" w:hAnsi="Arial" w:cs="Arial"/>
          <w:b/>
          <w:sz w:val="20"/>
          <w:szCs w:val="20"/>
        </w:rPr>
        <w:t>Inciso VII</w:t>
      </w:r>
      <w:r w:rsidRPr="006F501A">
        <w:rPr>
          <w:rFonts w:ascii="Arial" w:hAnsi="Arial" w:cs="Arial"/>
          <w:b/>
          <w:sz w:val="20"/>
          <w:szCs w:val="20"/>
        </w:rPr>
        <w:tab/>
      </w:r>
      <w:r w:rsidRPr="006F501A">
        <w:rPr>
          <w:rFonts w:ascii="Arial" w:hAnsi="Arial" w:cs="Arial"/>
          <w:sz w:val="20"/>
          <w:szCs w:val="20"/>
        </w:rPr>
        <w:t>Plantear la recuperación de la cartera vencida del SIAPA, a través de los subprocesos de cobranza,, coadyuvando en la notificación de los adeudos vencidos a los usuarios y las demás medidas que así requiera el organismo;</w:t>
      </w:r>
    </w:p>
    <w:p w:rsidR="006F501A" w:rsidRPr="006F501A" w:rsidRDefault="006F501A" w:rsidP="006F501A">
      <w:pPr>
        <w:jc w:val="both"/>
        <w:rPr>
          <w:rFonts w:ascii="Arial" w:hAnsi="Arial" w:cs="Arial"/>
          <w:sz w:val="20"/>
          <w:szCs w:val="20"/>
        </w:rPr>
      </w:pPr>
      <w:r w:rsidRPr="006F501A">
        <w:rPr>
          <w:rFonts w:ascii="Arial" w:hAnsi="Arial" w:cs="Arial"/>
          <w:sz w:val="20"/>
          <w:szCs w:val="20"/>
        </w:rPr>
        <w:t xml:space="preserve">Es importante resaltar que de forma periódica se realizan y entregan notificaciones de adeudos a todas aquellas cuentas que tienen 2 o más meses vencidos. </w:t>
      </w:r>
    </w:p>
    <w:p w:rsidR="006F501A" w:rsidRPr="006F501A" w:rsidRDefault="006F501A" w:rsidP="006F501A">
      <w:pPr>
        <w:jc w:val="both"/>
        <w:rPr>
          <w:rFonts w:ascii="Arial" w:hAnsi="Arial" w:cs="Arial"/>
          <w:sz w:val="20"/>
          <w:szCs w:val="20"/>
        </w:rPr>
      </w:pPr>
      <w:r w:rsidRPr="006F501A">
        <w:rPr>
          <w:rFonts w:ascii="Arial" w:hAnsi="Arial" w:cs="Arial"/>
          <w:sz w:val="20"/>
          <w:szCs w:val="20"/>
        </w:rPr>
        <w:t>Como parte de las acciones para la recuperación de la cartera vencida del SIAPA, se solicitó a la Subdirección Jurídica de este Organismo la elaboración de un Contrato de prestación de servicios para la cobranza.</w:t>
      </w:r>
    </w:p>
    <w:p w:rsidR="006F501A" w:rsidRPr="006F501A" w:rsidRDefault="006F501A" w:rsidP="006F501A">
      <w:pPr>
        <w:jc w:val="both"/>
        <w:rPr>
          <w:rFonts w:ascii="Arial" w:hAnsi="Arial" w:cs="Arial"/>
          <w:sz w:val="20"/>
          <w:szCs w:val="20"/>
        </w:rPr>
      </w:pPr>
      <w:r w:rsidRPr="006F501A">
        <w:rPr>
          <w:rFonts w:ascii="Arial" w:hAnsi="Arial" w:cs="Arial"/>
          <w:sz w:val="20"/>
          <w:szCs w:val="20"/>
        </w:rPr>
        <w:t>Derivado de lo anterior se contrataron 04 cuatro Despachos firmando Contrato con vigencia del 24 de marzo al 31 de Diciembre de 2014.</w:t>
      </w:r>
    </w:p>
    <w:p w:rsidR="008624B2" w:rsidRDefault="008624B2" w:rsidP="006F501A">
      <w:pPr>
        <w:jc w:val="both"/>
        <w:rPr>
          <w:rFonts w:ascii="Arial" w:hAnsi="Arial" w:cs="Arial"/>
          <w:sz w:val="20"/>
          <w:szCs w:val="20"/>
        </w:rPr>
      </w:pPr>
    </w:p>
    <w:p w:rsidR="008624B2" w:rsidRDefault="008624B2" w:rsidP="006F501A">
      <w:pPr>
        <w:jc w:val="both"/>
        <w:rPr>
          <w:rFonts w:ascii="Arial" w:hAnsi="Arial" w:cs="Arial"/>
          <w:sz w:val="20"/>
          <w:szCs w:val="20"/>
        </w:rPr>
      </w:pPr>
    </w:p>
    <w:p w:rsidR="006F501A" w:rsidRPr="006F501A" w:rsidRDefault="006F501A" w:rsidP="006F501A">
      <w:pPr>
        <w:jc w:val="both"/>
        <w:rPr>
          <w:rFonts w:ascii="Arial" w:hAnsi="Arial" w:cs="Arial"/>
          <w:sz w:val="20"/>
          <w:szCs w:val="20"/>
        </w:rPr>
      </w:pPr>
      <w:r w:rsidRPr="006F501A">
        <w:rPr>
          <w:rFonts w:ascii="Arial" w:hAnsi="Arial" w:cs="Arial"/>
          <w:sz w:val="20"/>
          <w:szCs w:val="20"/>
        </w:rPr>
        <w:t>Se anexa fotocopia de cuatro Contratos de Prestación de Servicios constando de 40 fojas foliadas de 01 al 40 sólo en su anverso con su respectivo código del Despacho, Certificadas por el Ing. Aristeo Mejía Durán en su carácter de Director General y Secretario Técnico de la Junta de Gobierno de SIAPA:</w:t>
      </w:r>
    </w:p>
    <w:p w:rsidR="006F501A" w:rsidRDefault="006F501A" w:rsidP="006F501A">
      <w:pPr>
        <w:jc w:val="both"/>
        <w:rPr>
          <w:b/>
          <w:u w:val="single"/>
        </w:rPr>
      </w:pPr>
      <w:r w:rsidRPr="006F501A">
        <w:rPr>
          <w:rFonts w:ascii="Arial" w:hAnsi="Arial" w:cs="Arial"/>
          <w:b/>
          <w:sz w:val="20"/>
          <w:szCs w:val="20"/>
          <w:u w:val="single"/>
        </w:rPr>
        <w:t>ANEXO 2</w:t>
      </w:r>
    </w:p>
    <w:tbl>
      <w:tblPr>
        <w:tblStyle w:val="Tablaconcuadrcula"/>
        <w:tblW w:w="0" w:type="auto"/>
        <w:tblLook w:val="04A0" w:firstRow="1" w:lastRow="0" w:firstColumn="1" w:lastColumn="0" w:noHBand="0" w:noVBand="1"/>
      </w:tblPr>
      <w:tblGrid>
        <w:gridCol w:w="2942"/>
        <w:gridCol w:w="3149"/>
        <w:gridCol w:w="2737"/>
      </w:tblGrid>
      <w:tr w:rsidR="006F501A" w:rsidTr="006F501A">
        <w:tc>
          <w:tcPr>
            <w:tcW w:w="2942" w:type="dxa"/>
            <w:tcBorders>
              <w:top w:val="single" w:sz="4" w:space="0" w:color="auto"/>
              <w:left w:val="single" w:sz="4" w:space="0" w:color="auto"/>
              <w:bottom w:val="single" w:sz="4" w:space="0" w:color="auto"/>
              <w:right w:val="single" w:sz="4" w:space="0" w:color="auto"/>
            </w:tcBorders>
            <w:hideMark/>
          </w:tcPr>
          <w:p w:rsidR="006F501A" w:rsidRDefault="006F501A">
            <w:pPr>
              <w:spacing w:after="0" w:line="240" w:lineRule="auto"/>
              <w:jc w:val="center"/>
              <w:rPr>
                <w:b/>
              </w:rPr>
            </w:pPr>
            <w:r>
              <w:rPr>
                <w:b/>
              </w:rPr>
              <w:t>Código del Despacho</w:t>
            </w:r>
          </w:p>
        </w:tc>
        <w:tc>
          <w:tcPr>
            <w:tcW w:w="3149" w:type="dxa"/>
            <w:tcBorders>
              <w:top w:val="single" w:sz="4" w:space="0" w:color="auto"/>
              <w:left w:val="single" w:sz="4" w:space="0" w:color="auto"/>
              <w:bottom w:val="single" w:sz="4" w:space="0" w:color="auto"/>
              <w:right w:val="single" w:sz="4" w:space="0" w:color="auto"/>
            </w:tcBorders>
            <w:hideMark/>
          </w:tcPr>
          <w:p w:rsidR="006F501A" w:rsidRDefault="006F501A">
            <w:pPr>
              <w:spacing w:after="0" w:line="240" w:lineRule="auto"/>
              <w:jc w:val="center"/>
              <w:rPr>
                <w:b/>
              </w:rPr>
            </w:pPr>
            <w:r>
              <w:rPr>
                <w:b/>
              </w:rPr>
              <w:t>Razón social</w:t>
            </w:r>
          </w:p>
        </w:tc>
        <w:tc>
          <w:tcPr>
            <w:tcW w:w="2737" w:type="dxa"/>
            <w:tcBorders>
              <w:top w:val="single" w:sz="4" w:space="0" w:color="auto"/>
              <w:left w:val="single" w:sz="4" w:space="0" w:color="auto"/>
              <w:bottom w:val="single" w:sz="4" w:space="0" w:color="auto"/>
              <w:right w:val="single" w:sz="4" w:space="0" w:color="auto"/>
            </w:tcBorders>
            <w:hideMark/>
          </w:tcPr>
          <w:p w:rsidR="006F501A" w:rsidRDefault="006F501A">
            <w:pPr>
              <w:spacing w:after="0" w:line="240" w:lineRule="auto"/>
              <w:jc w:val="center"/>
              <w:rPr>
                <w:b/>
              </w:rPr>
            </w:pPr>
            <w:r>
              <w:rPr>
                <w:b/>
              </w:rPr>
              <w:t>Número de fojas</w:t>
            </w:r>
          </w:p>
        </w:tc>
      </w:tr>
      <w:tr w:rsidR="006F501A" w:rsidTr="006F501A">
        <w:tc>
          <w:tcPr>
            <w:tcW w:w="2942" w:type="dxa"/>
            <w:tcBorders>
              <w:top w:val="single" w:sz="4" w:space="0" w:color="auto"/>
              <w:left w:val="single" w:sz="4" w:space="0" w:color="auto"/>
              <w:bottom w:val="single" w:sz="4" w:space="0" w:color="auto"/>
              <w:right w:val="single" w:sz="4" w:space="0" w:color="auto"/>
            </w:tcBorders>
            <w:hideMark/>
          </w:tcPr>
          <w:p w:rsidR="006F501A" w:rsidRDefault="006F501A">
            <w:pPr>
              <w:spacing w:after="0" w:line="240" w:lineRule="auto"/>
              <w:jc w:val="center"/>
            </w:pPr>
            <w:r>
              <w:t>D40</w:t>
            </w:r>
          </w:p>
        </w:tc>
        <w:tc>
          <w:tcPr>
            <w:tcW w:w="3149" w:type="dxa"/>
            <w:tcBorders>
              <w:top w:val="single" w:sz="4" w:space="0" w:color="auto"/>
              <w:left w:val="single" w:sz="4" w:space="0" w:color="auto"/>
              <w:bottom w:val="single" w:sz="4" w:space="0" w:color="auto"/>
              <w:right w:val="single" w:sz="4" w:space="0" w:color="auto"/>
            </w:tcBorders>
            <w:hideMark/>
          </w:tcPr>
          <w:p w:rsidR="006F501A" w:rsidRDefault="006F501A">
            <w:pPr>
              <w:spacing w:after="0" w:line="240" w:lineRule="auto"/>
              <w:jc w:val="both"/>
            </w:pPr>
            <w:proofErr w:type="spellStart"/>
            <w:r>
              <w:t>Asecoya</w:t>
            </w:r>
            <w:proofErr w:type="spellEnd"/>
            <w:r>
              <w:t xml:space="preserve"> Sociedad Civil</w:t>
            </w:r>
          </w:p>
        </w:tc>
        <w:tc>
          <w:tcPr>
            <w:tcW w:w="2737" w:type="dxa"/>
            <w:tcBorders>
              <w:top w:val="single" w:sz="4" w:space="0" w:color="auto"/>
              <w:left w:val="single" w:sz="4" w:space="0" w:color="auto"/>
              <w:bottom w:val="single" w:sz="4" w:space="0" w:color="auto"/>
              <w:right w:val="single" w:sz="4" w:space="0" w:color="auto"/>
            </w:tcBorders>
            <w:hideMark/>
          </w:tcPr>
          <w:p w:rsidR="006F501A" w:rsidRDefault="006F501A">
            <w:pPr>
              <w:spacing w:after="0" w:line="240" w:lineRule="auto"/>
              <w:jc w:val="center"/>
            </w:pPr>
            <w:r>
              <w:t>10 diez</w:t>
            </w:r>
          </w:p>
        </w:tc>
      </w:tr>
      <w:tr w:rsidR="006F501A" w:rsidTr="006F501A">
        <w:tc>
          <w:tcPr>
            <w:tcW w:w="2942" w:type="dxa"/>
            <w:tcBorders>
              <w:top w:val="single" w:sz="4" w:space="0" w:color="auto"/>
              <w:left w:val="single" w:sz="4" w:space="0" w:color="auto"/>
              <w:bottom w:val="single" w:sz="4" w:space="0" w:color="auto"/>
              <w:right w:val="single" w:sz="4" w:space="0" w:color="auto"/>
            </w:tcBorders>
            <w:hideMark/>
          </w:tcPr>
          <w:p w:rsidR="006F501A" w:rsidRDefault="006F501A">
            <w:pPr>
              <w:spacing w:after="0" w:line="240" w:lineRule="auto"/>
              <w:jc w:val="center"/>
            </w:pPr>
            <w:r>
              <w:t>D41</w:t>
            </w:r>
          </w:p>
        </w:tc>
        <w:tc>
          <w:tcPr>
            <w:tcW w:w="3149" w:type="dxa"/>
            <w:tcBorders>
              <w:top w:val="single" w:sz="4" w:space="0" w:color="auto"/>
              <w:left w:val="single" w:sz="4" w:space="0" w:color="auto"/>
              <w:bottom w:val="single" w:sz="4" w:space="0" w:color="auto"/>
              <w:right w:val="single" w:sz="4" w:space="0" w:color="auto"/>
            </w:tcBorders>
            <w:hideMark/>
          </w:tcPr>
          <w:p w:rsidR="006F501A" w:rsidRDefault="006F501A">
            <w:pPr>
              <w:spacing w:after="0" w:line="240" w:lineRule="auto"/>
              <w:jc w:val="both"/>
            </w:pPr>
            <w:proofErr w:type="spellStart"/>
            <w:r>
              <w:t>Riozer</w:t>
            </w:r>
            <w:proofErr w:type="spellEnd"/>
            <w:r>
              <w:t xml:space="preserve"> Abogados Sociedad Civil</w:t>
            </w:r>
          </w:p>
        </w:tc>
        <w:tc>
          <w:tcPr>
            <w:tcW w:w="2737" w:type="dxa"/>
            <w:tcBorders>
              <w:top w:val="single" w:sz="4" w:space="0" w:color="auto"/>
              <w:left w:val="single" w:sz="4" w:space="0" w:color="auto"/>
              <w:bottom w:val="single" w:sz="4" w:space="0" w:color="auto"/>
              <w:right w:val="single" w:sz="4" w:space="0" w:color="auto"/>
            </w:tcBorders>
            <w:hideMark/>
          </w:tcPr>
          <w:p w:rsidR="006F501A" w:rsidRDefault="006F501A">
            <w:pPr>
              <w:spacing w:after="0" w:line="240" w:lineRule="auto"/>
              <w:jc w:val="center"/>
            </w:pPr>
            <w:r>
              <w:t>10 diez</w:t>
            </w:r>
          </w:p>
        </w:tc>
      </w:tr>
      <w:tr w:rsidR="006F501A" w:rsidTr="006F501A">
        <w:tc>
          <w:tcPr>
            <w:tcW w:w="2942" w:type="dxa"/>
            <w:tcBorders>
              <w:top w:val="single" w:sz="4" w:space="0" w:color="auto"/>
              <w:left w:val="single" w:sz="4" w:space="0" w:color="auto"/>
              <w:bottom w:val="single" w:sz="4" w:space="0" w:color="auto"/>
              <w:right w:val="single" w:sz="4" w:space="0" w:color="auto"/>
            </w:tcBorders>
            <w:hideMark/>
          </w:tcPr>
          <w:p w:rsidR="006F501A" w:rsidRDefault="006F501A">
            <w:pPr>
              <w:spacing w:after="0" w:line="240" w:lineRule="auto"/>
              <w:jc w:val="center"/>
            </w:pPr>
            <w:r>
              <w:t>D43</w:t>
            </w:r>
          </w:p>
        </w:tc>
        <w:tc>
          <w:tcPr>
            <w:tcW w:w="3149" w:type="dxa"/>
            <w:tcBorders>
              <w:top w:val="single" w:sz="4" w:space="0" w:color="auto"/>
              <w:left w:val="single" w:sz="4" w:space="0" w:color="auto"/>
              <w:bottom w:val="single" w:sz="4" w:space="0" w:color="auto"/>
              <w:right w:val="single" w:sz="4" w:space="0" w:color="auto"/>
            </w:tcBorders>
            <w:hideMark/>
          </w:tcPr>
          <w:p w:rsidR="006F501A" w:rsidRDefault="006F501A">
            <w:pPr>
              <w:spacing w:after="0" w:line="240" w:lineRule="auto"/>
              <w:jc w:val="both"/>
            </w:pPr>
            <w:proofErr w:type="spellStart"/>
            <w:r>
              <w:t>Cohipro</w:t>
            </w:r>
            <w:proofErr w:type="spellEnd"/>
            <w:r>
              <w:t xml:space="preserve"> Sociedad Civil</w:t>
            </w:r>
          </w:p>
        </w:tc>
        <w:tc>
          <w:tcPr>
            <w:tcW w:w="2737" w:type="dxa"/>
            <w:tcBorders>
              <w:top w:val="single" w:sz="4" w:space="0" w:color="auto"/>
              <w:left w:val="single" w:sz="4" w:space="0" w:color="auto"/>
              <w:bottom w:val="single" w:sz="4" w:space="0" w:color="auto"/>
              <w:right w:val="single" w:sz="4" w:space="0" w:color="auto"/>
            </w:tcBorders>
            <w:hideMark/>
          </w:tcPr>
          <w:p w:rsidR="006F501A" w:rsidRDefault="006F501A">
            <w:pPr>
              <w:spacing w:after="0" w:line="240" w:lineRule="auto"/>
              <w:jc w:val="center"/>
            </w:pPr>
            <w:r>
              <w:t>10 diez</w:t>
            </w:r>
          </w:p>
        </w:tc>
      </w:tr>
      <w:tr w:rsidR="006F501A" w:rsidTr="006F501A">
        <w:tc>
          <w:tcPr>
            <w:tcW w:w="2942" w:type="dxa"/>
            <w:tcBorders>
              <w:top w:val="single" w:sz="4" w:space="0" w:color="auto"/>
              <w:left w:val="single" w:sz="4" w:space="0" w:color="auto"/>
              <w:bottom w:val="single" w:sz="4" w:space="0" w:color="auto"/>
              <w:right w:val="single" w:sz="4" w:space="0" w:color="auto"/>
            </w:tcBorders>
            <w:hideMark/>
          </w:tcPr>
          <w:p w:rsidR="006F501A" w:rsidRDefault="006F501A">
            <w:pPr>
              <w:spacing w:after="0" w:line="240" w:lineRule="auto"/>
              <w:jc w:val="center"/>
            </w:pPr>
            <w:r>
              <w:t>A</w:t>
            </w:r>
          </w:p>
        </w:tc>
        <w:tc>
          <w:tcPr>
            <w:tcW w:w="3149" w:type="dxa"/>
            <w:tcBorders>
              <w:top w:val="single" w:sz="4" w:space="0" w:color="auto"/>
              <w:left w:val="single" w:sz="4" w:space="0" w:color="auto"/>
              <w:bottom w:val="single" w:sz="4" w:space="0" w:color="auto"/>
              <w:right w:val="single" w:sz="4" w:space="0" w:color="auto"/>
            </w:tcBorders>
            <w:hideMark/>
          </w:tcPr>
          <w:p w:rsidR="006F501A" w:rsidRDefault="006F501A">
            <w:pPr>
              <w:spacing w:after="0" w:line="240" w:lineRule="auto"/>
              <w:jc w:val="both"/>
            </w:pPr>
            <w:r>
              <w:t>Consultores, Ingenieros y Abogados Sociedad Civil</w:t>
            </w:r>
          </w:p>
        </w:tc>
        <w:tc>
          <w:tcPr>
            <w:tcW w:w="2737" w:type="dxa"/>
            <w:tcBorders>
              <w:top w:val="single" w:sz="4" w:space="0" w:color="auto"/>
              <w:left w:val="single" w:sz="4" w:space="0" w:color="auto"/>
              <w:bottom w:val="single" w:sz="4" w:space="0" w:color="auto"/>
              <w:right w:val="single" w:sz="4" w:space="0" w:color="auto"/>
            </w:tcBorders>
          </w:tcPr>
          <w:p w:rsidR="006F501A" w:rsidRDefault="006F501A">
            <w:pPr>
              <w:spacing w:after="0" w:line="240" w:lineRule="auto"/>
              <w:jc w:val="center"/>
            </w:pPr>
            <w:r>
              <w:t>10 Diez</w:t>
            </w:r>
          </w:p>
          <w:p w:rsidR="006F501A" w:rsidRDefault="006F501A">
            <w:pPr>
              <w:spacing w:after="0" w:line="240" w:lineRule="auto"/>
              <w:jc w:val="center"/>
            </w:pPr>
          </w:p>
        </w:tc>
      </w:tr>
    </w:tbl>
    <w:p w:rsidR="006F501A" w:rsidRDefault="006F501A" w:rsidP="006F501A">
      <w:pPr>
        <w:jc w:val="both"/>
        <w:rPr>
          <w:u w:val="single"/>
        </w:rPr>
      </w:pPr>
    </w:p>
    <w:p w:rsidR="006F501A" w:rsidRPr="006F501A" w:rsidRDefault="006F501A" w:rsidP="006F501A">
      <w:pPr>
        <w:jc w:val="both"/>
        <w:rPr>
          <w:rFonts w:ascii="Arial" w:hAnsi="Arial" w:cs="Arial"/>
          <w:b/>
          <w:sz w:val="20"/>
          <w:szCs w:val="20"/>
          <w:u w:val="single"/>
        </w:rPr>
      </w:pPr>
      <w:r w:rsidRPr="006F501A">
        <w:rPr>
          <w:rFonts w:ascii="Arial" w:hAnsi="Arial" w:cs="Arial"/>
          <w:b/>
          <w:sz w:val="20"/>
          <w:szCs w:val="20"/>
          <w:u w:val="single"/>
        </w:rPr>
        <w:t>ANEXO 2.1</w:t>
      </w:r>
    </w:p>
    <w:p w:rsidR="006F501A" w:rsidRPr="006F501A" w:rsidRDefault="006F501A" w:rsidP="006F501A">
      <w:pPr>
        <w:jc w:val="both"/>
        <w:rPr>
          <w:rFonts w:ascii="Arial" w:hAnsi="Arial" w:cs="Arial"/>
          <w:sz w:val="20"/>
          <w:szCs w:val="20"/>
        </w:rPr>
      </w:pPr>
      <w:r w:rsidRPr="006F501A">
        <w:rPr>
          <w:rFonts w:ascii="Arial" w:hAnsi="Arial" w:cs="Arial"/>
          <w:sz w:val="20"/>
          <w:szCs w:val="20"/>
        </w:rPr>
        <w:t xml:space="preserve">Se anexa como ejemplo fotocopia de 27 veintisiete notificaciones entregadas por los Despachos en </w:t>
      </w:r>
      <w:proofErr w:type="spellStart"/>
      <w:r w:rsidRPr="006F501A">
        <w:rPr>
          <w:rFonts w:ascii="Arial" w:hAnsi="Arial" w:cs="Arial"/>
          <w:sz w:val="20"/>
          <w:szCs w:val="20"/>
        </w:rPr>
        <w:t>le</w:t>
      </w:r>
      <w:proofErr w:type="spellEnd"/>
      <w:r w:rsidRPr="006F501A">
        <w:rPr>
          <w:rFonts w:ascii="Arial" w:hAnsi="Arial" w:cs="Arial"/>
          <w:sz w:val="20"/>
          <w:szCs w:val="20"/>
        </w:rPr>
        <w:t xml:space="preserve"> período del 01 de julio al 30 de septiembre de 2014 constando de 29 veintinueve fojas en su anverso.</w:t>
      </w:r>
    </w:p>
    <w:p w:rsidR="006F501A" w:rsidRPr="006F501A" w:rsidRDefault="006F501A" w:rsidP="006F501A">
      <w:pPr>
        <w:jc w:val="both"/>
        <w:rPr>
          <w:rFonts w:ascii="Arial" w:hAnsi="Arial" w:cs="Arial"/>
          <w:b/>
          <w:sz w:val="20"/>
          <w:szCs w:val="20"/>
          <w:u w:val="single"/>
        </w:rPr>
      </w:pPr>
      <w:r w:rsidRPr="006F501A">
        <w:rPr>
          <w:rFonts w:ascii="Arial" w:hAnsi="Arial" w:cs="Arial"/>
          <w:b/>
          <w:sz w:val="20"/>
          <w:szCs w:val="20"/>
          <w:u w:val="single"/>
        </w:rPr>
        <w:t>ANEXO 3</w:t>
      </w:r>
    </w:p>
    <w:p w:rsidR="006F501A" w:rsidRPr="006F501A" w:rsidRDefault="006F501A" w:rsidP="006F501A">
      <w:pPr>
        <w:jc w:val="both"/>
        <w:rPr>
          <w:rFonts w:ascii="Arial" w:hAnsi="Arial" w:cs="Arial"/>
          <w:sz w:val="20"/>
          <w:szCs w:val="20"/>
        </w:rPr>
      </w:pPr>
      <w:r w:rsidRPr="006F501A">
        <w:rPr>
          <w:rFonts w:ascii="Arial" w:hAnsi="Arial" w:cs="Arial"/>
          <w:sz w:val="20"/>
          <w:szCs w:val="20"/>
        </w:rPr>
        <w:t xml:space="preserve">Adjunto disco compacto con 01 un archivo electrónico en formato PDF con nombre </w:t>
      </w:r>
      <w:r w:rsidRPr="006F501A">
        <w:rPr>
          <w:rFonts w:ascii="Arial" w:hAnsi="Arial" w:cs="Arial"/>
          <w:b/>
          <w:sz w:val="20"/>
          <w:szCs w:val="20"/>
        </w:rPr>
        <w:t xml:space="preserve">INFORME DE NOTIFICACIONES 2014 </w:t>
      </w:r>
      <w:r w:rsidRPr="006F501A">
        <w:rPr>
          <w:rFonts w:ascii="Arial" w:hAnsi="Arial" w:cs="Arial"/>
          <w:sz w:val="20"/>
          <w:szCs w:val="20"/>
        </w:rPr>
        <w:t xml:space="preserve">el cual contiene </w:t>
      </w:r>
      <w:r w:rsidRPr="006F501A">
        <w:rPr>
          <w:rFonts w:ascii="Arial" w:hAnsi="Arial" w:cs="Arial"/>
          <w:b/>
          <w:sz w:val="20"/>
          <w:szCs w:val="20"/>
        </w:rPr>
        <w:t xml:space="preserve">informe concentrado extraído del sistema informático SAP </w:t>
      </w:r>
      <w:r w:rsidRPr="006F501A">
        <w:rPr>
          <w:rFonts w:ascii="Arial" w:hAnsi="Arial" w:cs="Arial"/>
          <w:sz w:val="20"/>
          <w:szCs w:val="20"/>
        </w:rPr>
        <w:t>con detalle del código del Despacho, total de notificaciones entregadas, importe notificado e importe recuperado, así como la comisión que se le pagó a cada Despacho.</w:t>
      </w:r>
    </w:p>
    <w:p w:rsidR="006F501A" w:rsidRPr="006F501A" w:rsidRDefault="006F501A" w:rsidP="006F501A">
      <w:pPr>
        <w:jc w:val="both"/>
        <w:rPr>
          <w:rFonts w:ascii="Arial" w:hAnsi="Arial" w:cs="Arial"/>
          <w:sz w:val="20"/>
          <w:szCs w:val="20"/>
        </w:rPr>
      </w:pPr>
      <w:r w:rsidRPr="006F501A">
        <w:rPr>
          <w:rFonts w:ascii="Arial" w:hAnsi="Arial" w:cs="Arial"/>
          <w:sz w:val="20"/>
          <w:szCs w:val="20"/>
        </w:rPr>
        <w:t>Es importante destacar que ésta Dirección Comercial tiene el soporte en discos compactos de cada archivo generado para cada Despacho, resaltando que en caso necesario está disponible en cualquier momento.</w:t>
      </w:r>
    </w:p>
    <w:p w:rsidR="006F501A" w:rsidRPr="006F501A" w:rsidRDefault="006F501A" w:rsidP="006F501A">
      <w:pPr>
        <w:jc w:val="both"/>
        <w:rPr>
          <w:rFonts w:ascii="Arial" w:hAnsi="Arial" w:cs="Arial"/>
          <w:sz w:val="20"/>
          <w:szCs w:val="20"/>
        </w:rPr>
      </w:pPr>
      <w:r w:rsidRPr="006F501A">
        <w:rPr>
          <w:rFonts w:ascii="Arial" w:hAnsi="Arial" w:cs="Arial"/>
          <w:sz w:val="20"/>
          <w:szCs w:val="20"/>
        </w:rPr>
        <w:t xml:space="preserve">No omito comentar que con base </w:t>
      </w:r>
      <w:r w:rsidRPr="006F501A">
        <w:rPr>
          <w:rFonts w:ascii="Arial" w:hAnsi="Arial" w:cs="Arial"/>
          <w:b/>
          <w:sz w:val="20"/>
          <w:szCs w:val="20"/>
        </w:rPr>
        <w:t xml:space="preserve">al </w:t>
      </w:r>
      <w:r w:rsidRPr="006F501A">
        <w:rPr>
          <w:rFonts w:ascii="Arial" w:hAnsi="Arial" w:cs="Arial"/>
          <w:b/>
          <w:sz w:val="20"/>
          <w:szCs w:val="20"/>
          <w:u w:val="single"/>
        </w:rPr>
        <w:t>Reglamento Interno del Sistema Intermunicipal de los Servicios de Agua Potable y Alcantarillado</w:t>
      </w:r>
      <w:r w:rsidRPr="006F501A">
        <w:rPr>
          <w:rFonts w:ascii="Arial" w:hAnsi="Arial" w:cs="Arial"/>
          <w:sz w:val="20"/>
          <w:szCs w:val="20"/>
          <w:u w:val="single"/>
        </w:rPr>
        <w:t xml:space="preserve"> </w:t>
      </w:r>
      <w:r w:rsidRPr="006F501A">
        <w:rPr>
          <w:rFonts w:ascii="Arial" w:hAnsi="Arial" w:cs="Arial"/>
          <w:sz w:val="20"/>
          <w:szCs w:val="20"/>
        </w:rPr>
        <w:t xml:space="preserve">publicado el </w:t>
      </w:r>
      <w:r w:rsidRPr="006F501A">
        <w:rPr>
          <w:rFonts w:ascii="Arial" w:hAnsi="Arial" w:cs="Arial"/>
          <w:b/>
          <w:sz w:val="20"/>
          <w:szCs w:val="20"/>
        </w:rPr>
        <w:t xml:space="preserve">jueves 03 de Abril de 2014 </w:t>
      </w:r>
      <w:r w:rsidRPr="006F501A">
        <w:rPr>
          <w:rFonts w:ascii="Arial" w:hAnsi="Arial" w:cs="Arial"/>
          <w:sz w:val="20"/>
          <w:szCs w:val="20"/>
        </w:rPr>
        <w:t>creado bajo Decreto 24805/LX/13 del Congreso del Estado, con fundamento en el artículo 115</w:t>
      </w:r>
      <w:r w:rsidRPr="006F501A">
        <w:rPr>
          <w:rFonts w:ascii="Arial" w:hAnsi="Arial" w:cs="Arial"/>
          <w:b/>
          <w:sz w:val="20"/>
          <w:szCs w:val="20"/>
        </w:rPr>
        <w:t xml:space="preserve"> </w:t>
      </w:r>
      <w:r w:rsidRPr="006F501A">
        <w:rPr>
          <w:rFonts w:ascii="Arial" w:hAnsi="Arial" w:cs="Arial"/>
          <w:sz w:val="20"/>
          <w:szCs w:val="20"/>
        </w:rPr>
        <w:t>fracción III, inciso a) de la Constitución Política delos Estados Unidos Mexicano, así como los artículos 4, 49, 52, 53 y 57 de la Ley Orgánica del Poder Ejecutivo del Estado de Jalisco, presento para consideración, el siguiente:</w:t>
      </w:r>
    </w:p>
    <w:p w:rsidR="006F501A" w:rsidRPr="006F501A" w:rsidRDefault="006F501A" w:rsidP="006F501A">
      <w:pPr>
        <w:jc w:val="both"/>
        <w:rPr>
          <w:rFonts w:ascii="Arial" w:hAnsi="Arial" w:cs="Arial"/>
          <w:sz w:val="20"/>
          <w:szCs w:val="20"/>
        </w:rPr>
      </w:pPr>
      <w:r w:rsidRPr="006F501A">
        <w:rPr>
          <w:rFonts w:ascii="Arial" w:hAnsi="Arial" w:cs="Arial"/>
          <w:sz w:val="20"/>
          <w:szCs w:val="20"/>
        </w:rPr>
        <w:t>La Dirección General para el buen despacho de sus funciones contará con apoyo directo de las siguientes áreas:</w:t>
      </w:r>
    </w:p>
    <w:p w:rsidR="006F501A" w:rsidRPr="006F501A" w:rsidRDefault="006F501A" w:rsidP="006F501A">
      <w:pPr>
        <w:pStyle w:val="Prrafodelista"/>
        <w:numPr>
          <w:ilvl w:val="0"/>
          <w:numId w:val="1"/>
        </w:numPr>
        <w:jc w:val="both"/>
        <w:rPr>
          <w:rFonts w:ascii="Arial" w:hAnsi="Arial" w:cs="Arial"/>
          <w:sz w:val="20"/>
          <w:szCs w:val="20"/>
        </w:rPr>
      </w:pPr>
      <w:r w:rsidRPr="006F501A">
        <w:rPr>
          <w:rFonts w:ascii="Arial" w:hAnsi="Arial" w:cs="Arial"/>
          <w:sz w:val="20"/>
          <w:szCs w:val="20"/>
        </w:rPr>
        <w:t>Subdirección de Comunicación Social;</w:t>
      </w:r>
    </w:p>
    <w:p w:rsidR="006F501A" w:rsidRPr="006F501A" w:rsidRDefault="006F501A" w:rsidP="006F501A">
      <w:pPr>
        <w:pStyle w:val="Prrafodelista"/>
        <w:numPr>
          <w:ilvl w:val="0"/>
          <w:numId w:val="1"/>
        </w:numPr>
        <w:jc w:val="both"/>
        <w:rPr>
          <w:rFonts w:ascii="Arial" w:hAnsi="Arial" w:cs="Arial"/>
          <w:sz w:val="20"/>
          <w:szCs w:val="20"/>
        </w:rPr>
      </w:pPr>
      <w:r w:rsidRPr="006F501A">
        <w:rPr>
          <w:rFonts w:ascii="Arial" w:hAnsi="Arial" w:cs="Arial"/>
          <w:sz w:val="20"/>
          <w:szCs w:val="20"/>
        </w:rPr>
        <w:t>Subdirección de Tecnologías de Información:</w:t>
      </w:r>
    </w:p>
    <w:p w:rsidR="006F501A" w:rsidRPr="006F501A" w:rsidRDefault="006F501A" w:rsidP="006F501A">
      <w:pPr>
        <w:pStyle w:val="Prrafodelista"/>
        <w:numPr>
          <w:ilvl w:val="0"/>
          <w:numId w:val="1"/>
        </w:numPr>
        <w:jc w:val="both"/>
        <w:rPr>
          <w:rFonts w:ascii="Arial" w:hAnsi="Arial" w:cs="Arial"/>
          <w:sz w:val="20"/>
          <w:szCs w:val="20"/>
        </w:rPr>
      </w:pPr>
      <w:r w:rsidRPr="006F501A">
        <w:rPr>
          <w:rFonts w:ascii="Arial" w:hAnsi="Arial" w:cs="Arial"/>
          <w:sz w:val="20"/>
          <w:szCs w:val="20"/>
        </w:rPr>
        <w:t>Subdirección de Innovación</w:t>
      </w:r>
    </w:p>
    <w:p w:rsidR="006F501A" w:rsidRPr="006F501A" w:rsidRDefault="006F501A" w:rsidP="006F501A">
      <w:pPr>
        <w:pStyle w:val="Prrafodelista"/>
        <w:numPr>
          <w:ilvl w:val="0"/>
          <w:numId w:val="1"/>
        </w:numPr>
        <w:jc w:val="both"/>
        <w:rPr>
          <w:rFonts w:ascii="Arial" w:hAnsi="Arial" w:cs="Arial"/>
          <w:sz w:val="20"/>
          <w:szCs w:val="20"/>
        </w:rPr>
      </w:pPr>
      <w:r w:rsidRPr="006F501A">
        <w:rPr>
          <w:rFonts w:ascii="Arial" w:hAnsi="Arial" w:cs="Arial"/>
          <w:sz w:val="20"/>
          <w:szCs w:val="20"/>
        </w:rPr>
        <w:t>Subdirección Jurídica:</w:t>
      </w:r>
    </w:p>
    <w:p w:rsidR="006F501A" w:rsidRPr="006F501A" w:rsidRDefault="006F501A" w:rsidP="006F501A">
      <w:pPr>
        <w:pStyle w:val="Prrafodelista"/>
        <w:numPr>
          <w:ilvl w:val="0"/>
          <w:numId w:val="1"/>
        </w:numPr>
        <w:jc w:val="both"/>
        <w:rPr>
          <w:rFonts w:ascii="Arial" w:hAnsi="Arial" w:cs="Arial"/>
          <w:sz w:val="20"/>
          <w:szCs w:val="20"/>
        </w:rPr>
      </w:pPr>
      <w:r w:rsidRPr="006F501A">
        <w:rPr>
          <w:rFonts w:ascii="Arial" w:hAnsi="Arial" w:cs="Arial"/>
          <w:sz w:val="20"/>
          <w:szCs w:val="20"/>
        </w:rPr>
        <w:t xml:space="preserve">Unidad de Determinación, Ejecución Fiscal y Fiscalización.  </w:t>
      </w:r>
    </w:p>
    <w:p w:rsidR="006F501A" w:rsidRPr="006F501A" w:rsidRDefault="006F501A" w:rsidP="006F501A">
      <w:pPr>
        <w:pStyle w:val="Prrafodelista"/>
        <w:numPr>
          <w:ilvl w:val="0"/>
          <w:numId w:val="1"/>
        </w:numPr>
        <w:jc w:val="both"/>
        <w:rPr>
          <w:rFonts w:ascii="Arial" w:hAnsi="Arial" w:cs="Arial"/>
          <w:sz w:val="20"/>
          <w:szCs w:val="20"/>
        </w:rPr>
      </w:pPr>
      <w:r w:rsidRPr="006F501A">
        <w:rPr>
          <w:rFonts w:ascii="Arial" w:hAnsi="Arial" w:cs="Arial"/>
          <w:sz w:val="20"/>
          <w:szCs w:val="20"/>
        </w:rPr>
        <w:t>Secretaría Técnica;</w:t>
      </w:r>
    </w:p>
    <w:p w:rsidR="006F501A" w:rsidRPr="006F501A" w:rsidRDefault="006F501A" w:rsidP="006F501A">
      <w:pPr>
        <w:pStyle w:val="Prrafodelista"/>
        <w:numPr>
          <w:ilvl w:val="0"/>
          <w:numId w:val="1"/>
        </w:numPr>
        <w:jc w:val="both"/>
        <w:rPr>
          <w:rFonts w:ascii="Arial" w:hAnsi="Arial" w:cs="Arial"/>
          <w:sz w:val="20"/>
          <w:szCs w:val="20"/>
        </w:rPr>
      </w:pPr>
      <w:r w:rsidRPr="006F501A">
        <w:rPr>
          <w:rFonts w:ascii="Arial" w:hAnsi="Arial" w:cs="Arial"/>
          <w:sz w:val="20"/>
          <w:szCs w:val="20"/>
        </w:rPr>
        <w:t>Secretaria Particular de la Dirección General.</w:t>
      </w:r>
    </w:p>
    <w:p w:rsidR="006F501A" w:rsidRPr="006F501A" w:rsidRDefault="006F501A" w:rsidP="006F501A">
      <w:pPr>
        <w:jc w:val="both"/>
        <w:rPr>
          <w:rFonts w:ascii="Arial" w:hAnsi="Arial" w:cs="Arial"/>
          <w:sz w:val="20"/>
          <w:szCs w:val="20"/>
        </w:rPr>
      </w:pPr>
      <w:r w:rsidRPr="006F501A">
        <w:rPr>
          <w:rFonts w:ascii="Arial" w:hAnsi="Arial" w:cs="Arial"/>
          <w:b/>
          <w:sz w:val="20"/>
          <w:szCs w:val="20"/>
        </w:rPr>
        <w:t xml:space="preserve">Artículo 15.- </w:t>
      </w:r>
      <w:r w:rsidRPr="006F501A">
        <w:rPr>
          <w:rFonts w:ascii="Arial" w:hAnsi="Arial" w:cs="Arial"/>
          <w:sz w:val="20"/>
          <w:szCs w:val="20"/>
        </w:rPr>
        <w:t>La Unidad de Determinación, Ejecución Fiscal y Fiscalización tendrá las siguientes atribuciones</w:t>
      </w:r>
    </w:p>
    <w:p w:rsidR="008624B2" w:rsidRDefault="008624B2" w:rsidP="006F501A">
      <w:pPr>
        <w:jc w:val="both"/>
        <w:rPr>
          <w:rFonts w:ascii="Arial" w:hAnsi="Arial" w:cs="Arial"/>
          <w:sz w:val="20"/>
          <w:szCs w:val="20"/>
        </w:rPr>
      </w:pPr>
    </w:p>
    <w:p w:rsidR="008624B2" w:rsidRDefault="008624B2" w:rsidP="006F501A">
      <w:pPr>
        <w:jc w:val="both"/>
        <w:rPr>
          <w:rFonts w:ascii="Arial" w:hAnsi="Arial" w:cs="Arial"/>
          <w:sz w:val="20"/>
          <w:szCs w:val="20"/>
        </w:rPr>
      </w:pPr>
    </w:p>
    <w:p w:rsidR="008624B2" w:rsidRDefault="008624B2" w:rsidP="006F501A">
      <w:pPr>
        <w:jc w:val="both"/>
        <w:rPr>
          <w:rFonts w:ascii="Arial" w:hAnsi="Arial" w:cs="Arial"/>
          <w:sz w:val="20"/>
          <w:szCs w:val="20"/>
        </w:rPr>
      </w:pPr>
    </w:p>
    <w:p w:rsidR="006F501A" w:rsidRPr="006F501A" w:rsidRDefault="006F501A" w:rsidP="006F501A">
      <w:pPr>
        <w:jc w:val="both"/>
        <w:rPr>
          <w:rFonts w:ascii="Arial" w:hAnsi="Arial" w:cs="Arial"/>
          <w:sz w:val="20"/>
          <w:szCs w:val="20"/>
        </w:rPr>
      </w:pPr>
      <w:r w:rsidRPr="006F501A">
        <w:rPr>
          <w:rFonts w:ascii="Arial" w:hAnsi="Arial" w:cs="Arial"/>
          <w:sz w:val="20"/>
          <w:szCs w:val="20"/>
        </w:rPr>
        <w:t>VII  Determinar la existencia d obligaciones fiscales, dar las bases para su liquidación o fijarlas en cantidad líquida, cuantificar y notificar créditos fiscales; cerciorarse del cumplimiento de las disposiciones fiscales, exigir su pago,  y comprobar la comisión de infracciones a dichas disposiciones.</w:t>
      </w:r>
    </w:p>
    <w:p w:rsidR="006F501A" w:rsidRPr="006F501A" w:rsidRDefault="006F501A" w:rsidP="006F501A">
      <w:pPr>
        <w:jc w:val="both"/>
        <w:rPr>
          <w:rFonts w:ascii="Arial" w:hAnsi="Arial" w:cs="Arial"/>
          <w:sz w:val="20"/>
          <w:szCs w:val="20"/>
        </w:rPr>
      </w:pPr>
      <w:r w:rsidRPr="006F501A">
        <w:rPr>
          <w:rFonts w:ascii="Arial" w:hAnsi="Arial" w:cs="Arial"/>
          <w:sz w:val="20"/>
          <w:szCs w:val="20"/>
        </w:rPr>
        <w:t>d) Programar los actos de determinación, fiscalización y ejecución fiscales.</w:t>
      </w:r>
    </w:p>
    <w:p w:rsidR="006F501A" w:rsidRPr="006F501A" w:rsidRDefault="006F501A" w:rsidP="006F501A">
      <w:pPr>
        <w:jc w:val="both"/>
        <w:rPr>
          <w:rFonts w:ascii="Arial" w:hAnsi="Arial" w:cs="Arial"/>
          <w:b/>
          <w:sz w:val="20"/>
          <w:szCs w:val="20"/>
        </w:rPr>
      </w:pPr>
      <w:r w:rsidRPr="006F501A">
        <w:rPr>
          <w:rFonts w:ascii="Arial" w:hAnsi="Arial" w:cs="Arial"/>
          <w:sz w:val="20"/>
          <w:szCs w:val="20"/>
        </w:rPr>
        <w:t xml:space="preserve">No obstante a partir del </w:t>
      </w:r>
      <w:r w:rsidRPr="006F501A">
        <w:rPr>
          <w:rFonts w:ascii="Arial" w:hAnsi="Arial" w:cs="Arial"/>
          <w:b/>
          <w:sz w:val="20"/>
          <w:szCs w:val="20"/>
        </w:rPr>
        <w:t>09 de marzo de 2017</w:t>
      </w:r>
      <w:r w:rsidRPr="006F501A">
        <w:rPr>
          <w:rFonts w:ascii="Arial" w:hAnsi="Arial" w:cs="Arial"/>
          <w:sz w:val="20"/>
          <w:szCs w:val="20"/>
        </w:rPr>
        <w:t xml:space="preserve"> el Ing. Aristeo Mejía Durán Director General del SIAPA a través de memorándum DG-019/2017 remitió </w:t>
      </w:r>
      <w:r w:rsidRPr="006F501A">
        <w:rPr>
          <w:rFonts w:ascii="Arial" w:hAnsi="Arial" w:cs="Arial"/>
          <w:b/>
          <w:sz w:val="20"/>
          <w:szCs w:val="20"/>
        </w:rPr>
        <w:t>Acuerdo de Designación al Lic. Jaime Ramírez Gómez como Titular de la Unidad de Determinación, Ejecución Fiscal y Fiscalización.</w:t>
      </w:r>
    </w:p>
    <w:p w:rsidR="006F501A" w:rsidRPr="006F501A" w:rsidRDefault="006F501A" w:rsidP="006F501A">
      <w:pPr>
        <w:jc w:val="both"/>
        <w:rPr>
          <w:rFonts w:ascii="Arial" w:hAnsi="Arial" w:cs="Arial"/>
          <w:b/>
          <w:sz w:val="20"/>
          <w:szCs w:val="20"/>
          <w:u w:val="single"/>
        </w:rPr>
      </w:pPr>
      <w:r w:rsidRPr="006F501A">
        <w:rPr>
          <w:rFonts w:ascii="Arial" w:hAnsi="Arial" w:cs="Arial"/>
          <w:b/>
          <w:sz w:val="20"/>
          <w:szCs w:val="20"/>
          <w:u w:val="single"/>
        </w:rPr>
        <w:t>ANEXO 4</w:t>
      </w:r>
    </w:p>
    <w:p w:rsidR="006F501A" w:rsidRPr="006F501A" w:rsidRDefault="006F501A" w:rsidP="006F501A">
      <w:pPr>
        <w:jc w:val="both"/>
        <w:rPr>
          <w:rFonts w:ascii="Arial" w:hAnsi="Arial" w:cs="Arial"/>
          <w:sz w:val="20"/>
          <w:szCs w:val="20"/>
        </w:rPr>
      </w:pPr>
      <w:r w:rsidRPr="006F501A">
        <w:rPr>
          <w:rFonts w:ascii="Arial" w:hAnsi="Arial" w:cs="Arial"/>
          <w:sz w:val="20"/>
          <w:szCs w:val="20"/>
        </w:rPr>
        <w:t xml:space="preserve">Impresión del </w:t>
      </w:r>
      <w:r w:rsidRPr="006F501A">
        <w:rPr>
          <w:rFonts w:ascii="Arial" w:hAnsi="Arial" w:cs="Arial"/>
          <w:sz w:val="20"/>
          <w:szCs w:val="20"/>
          <w:u w:val="single"/>
        </w:rPr>
        <w:t xml:space="preserve">Reglamento Interno del Sistema Intermunicipal de los Servicios de Agua Potable y Alcantarillado constando </w:t>
      </w:r>
      <w:r w:rsidRPr="006F501A">
        <w:rPr>
          <w:rFonts w:ascii="Arial" w:hAnsi="Arial" w:cs="Arial"/>
          <w:sz w:val="20"/>
          <w:szCs w:val="20"/>
        </w:rPr>
        <w:t>de 51 cincuenta y un FOJAS sólo en su anverso.</w:t>
      </w:r>
    </w:p>
    <w:p w:rsidR="006F501A" w:rsidRPr="006F501A" w:rsidRDefault="006F501A" w:rsidP="006F501A">
      <w:pPr>
        <w:jc w:val="both"/>
        <w:rPr>
          <w:rFonts w:ascii="Arial" w:hAnsi="Arial" w:cs="Arial"/>
          <w:sz w:val="20"/>
          <w:szCs w:val="20"/>
        </w:rPr>
      </w:pPr>
      <w:r w:rsidRPr="006F501A">
        <w:rPr>
          <w:rFonts w:ascii="Arial" w:hAnsi="Arial" w:cs="Arial"/>
          <w:sz w:val="20"/>
          <w:szCs w:val="20"/>
        </w:rPr>
        <w:t>Sin otro particular por el momento, quedo atento para cualquier comentario al respecto.</w:t>
      </w:r>
    </w:p>
    <w:p w:rsidR="006F501A" w:rsidRDefault="006F501A" w:rsidP="006F501A">
      <w:pPr>
        <w:jc w:val="both"/>
        <w:rPr>
          <w:b/>
        </w:rPr>
      </w:pPr>
    </w:p>
    <w:p w:rsidR="006F501A" w:rsidRDefault="006F501A" w:rsidP="006F501A">
      <w:pPr>
        <w:jc w:val="both"/>
        <w:rPr>
          <w:b/>
          <w:u w:val="single"/>
        </w:rPr>
      </w:pPr>
    </w:p>
    <w:p w:rsidR="006F501A" w:rsidRDefault="006F501A" w:rsidP="006F501A">
      <w:pPr>
        <w:jc w:val="both"/>
      </w:pPr>
      <w:r>
        <w:t xml:space="preserve">         </w:t>
      </w:r>
    </w:p>
    <w:p w:rsidR="006F501A" w:rsidRDefault="006F501A" w:rsidP="006F501A"/>
    <w:p w:rsidR="001411FC" w:rsidRPr="001411FC" w:rsidRDefault="001411FC" w:rsidP="00EC215D">
      <w:pPr>
        <w:jc w:val="both"/>
        <w:rPr>
          <w:rFonts w:ascii="Arial" w:hAnsi="Arial" w:cs="Arial"/>
          <w:sz w:val="20"/>
          <w:szCs w:val="20"/>
        </w:rPr>
      </w:pPr>
    </w:p>
    <w:sectPr w:rsidR="001411FC" w:rsidRPr="001411FC" w:rsidSect="001E1583">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549" w:rsidRDefault="00494549" w:rsidP="001E1583">
      <w:pPr>
        <w:spacing w:after="0" w:line="240" w:lineRule="auto"/>
      </w:pPr>
      <w:r>
        <w:separator/>
      </w:r>
    </w:p>
  </w:endnote>
  <w:endnote w:type="continuationSeparator" w:id="0">
    <w:p w:rsidR="00494549" w:rsidRDefault="00494549" w:rsidP="001E1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Light">
    <w:altName w:val="Cambria Math"/>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123490"/>
      <w:docPartObj>
        <w:docPartGallery w:val="Page Numbers (Bottom of Page)"/>
        <w:docPartUnique/>
      </w:docPartObj>
    </w:sdtPr>
    <w:sdtContent>
      <w:sdt>
        <w:sdtPr>
          <w:id w:val="-1669238322"/>
          <w:docPartObj>
            <w:docPartGallery w:val="Page Numbers (Top of Page)"/>
            <w:docPartUnique/>
          </w:docPartObj>
        </w:sdtPr>
        <w:sdtContent>
          <w:p w:rsidR="008624B2" w:rsidRDefault="008624B2">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rsidR="008624B2" w:rsidRDefault="008624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549" w:rsidRDefault="00494549" w:rsidP="001E1583">
      <w:pPr>
        <w:spacing w:after="0" w:line="240" w:lineRule="auto"/>
      </w:pPr>
      <w:r>
        <w:separator/>
      </w:r>
    </w:p>
  </w:footnote>
  <w:footnote w:type="continuationSeparator" w:id="0">
    <w:p w:rsidR="00494549" w:rsidRDefault="00494549" w:rsidP="001E1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54" w:rsidRDefault="005B2054" w:rsidP="001E1583">
    <w:pPr>
      <w:pStyle w:val="Encabezado"/>
      <w:tabs>
        <w:tab w:val="clear" w:pos="4419"/>
        <w:tab w:val="clear" w:pos="8838"/>
        <w:tab w:val="left" w:pos="6165"/>
      </w:tabs>
      <w:jc w:val="right"/>
    </w:pPr>
    <w:r>
      <w:rPr>
        <w:rFonts w:ascii="Arial" w:eastAsia="Times New Roman" w:hAnsi="Arial" w:cs="Arial"/>
        <w:b/>
        <w:w w:val="200"/>
        <w:sz w:val="20"/>
        <w:szCs w:val="20"/>
        <w:lang w:eastAsia="es-ES"/>
      </w:rPr>
      <w:t xml:space="preserve">Anexo Of. DGP/4559/18                                                                                                                                                             </w:t>
    </w:r>
  </w:p>
  <w:p w:rsidR="001E1583" w:rsidRDefault="001E1583" w:rsidP="001E1583">
    <w:pPr>
      <w:pStyle w:val="Encabezado"/>
      <w:tabs>
        <w:tab w:val="clear" w:pos="4419"/>
        <w:tab w:val="clear" w:pos="8838"/>
        <w:tab w:val="left" w:pos="6165"/>
      </w:tabs>
      <w:jc w:val="right"/>
      <w:rPr>
        <w:rFonts w:ascii="Frutiger-Light" w:hAnsi="Frutiger-Light" w:cs="Frutiger-Light"/>
        <w:noProof/>
        <w:color w:val="333333"/>
        <w:lang w:eastAsia="es-MX"/>
      </w:rPr>
    </w:pPr>
    <w:r>
      <w:rPr>
        <w:rFonts w:ascii="Frutiger-Light" w:hAnsi="Frutiger-Light" w:cs="Frutiger-Light"/>
        <w:noProof/>
        <w:color w:val="333333"/>
        <w:lang w:eastAsia="es-MX"/>
      </w:rPr>
      <w:drawing>
        <wp:anchor distT="0" distB="0" distL="114300" distR="114300" simplePos="0" relativeHeight="251659264" behindDoc="1" locked="0" layoutInCell="1" allowOverlap="1" wp14:anchorId="2A067C79" wp14:editId="55E1F01E">
          <wp:simplePos x="0" y="0"/>
          <wp:positionH relativeFrom="column">
            <wp:posOffset>-90805</wp:posOffset>
          </wp:positionH>
          <wp:positionV relativeFrom="paragraph">
            <wp:posOffset>-175260</wp:posOffset>
          </wp:positionV>
          <wp:extent cx="2261173" cy="1081718"/>
          <wp:effectExtent l="0" t="0" r="6350" b="4445"/>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traloriaTranspar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61173" cy="1081718"/>
                  </a:xfrm>
                  <a:prstGeom prst="rect">
                    <a:avLst/>
                  </a:prstGeom>
                  <a:noFill/>
                </pic:spPr>
              </pic:pic>
            </a:graphicData>
          </a:graphic>
          <wp14:sizeRelH relativeFrom="margin">
            <wp14:pctWidth>0</wp14:pctWidth>
          </wp14:sizeRelH>
          <wp14:sizeRelV relativeFrom="margin">
            <wp14:pctHeight>0</wp14:pctHeight>
          </wp14:sizeRelV>
        </wp:anchor>
      </w:drawing>
    </w:r>
    <w:r>
      <w:tab/>
    </w:r>
    <w:r>
      <w:rPr>
        <w:rFonts w:ascii="Frutiger-Light" w:hAnsi="Frutiger-Light" w:cs="Frutiger-Light"/>
        <w:noProof/>
        <w:color w:val="333333"/>
        <w:lang w:eastAsia="es-MX"/>
      </w:rPr>
      <w:t xml:space="preserve">     </w:t>
    </w:r>
  </w:p>
  <w:p w:rsidR="001E1583" w:rsidRDefault="001E1583" w:rsidP="001E1583">
    <w:pPr>
      <w:pStyle w:val="Encabezado"/>
      <w:tabs>
        <w:tab w:val="clear" w:pos="4419"/>
        <w:tab w:val="clear" w:pos="8838"/>
        <w:tab w:val="left" w:pos="6165"/>
      </w:tabs>
      <w:rPr>
        <w:rFonts w:ascii="Frutiger-Light" w:hAnsi="Frutiger-Light" w:cs="Frutiger-Light"/>
        <w:noProof/>
        <w:color w:val="333333"/>
        <w:lang w:eastAsia="es-MX"/>
      </w:rPr>
    </w:pPr>
  </w:p>
  <w:p w:rsidR="005B2054" w:rsidRDefault="005B2054" w:rsidP="001E1583">
    <w:pPr>
      <w:jc w:val="center"/>
      <w:rPr>
        <w:rFonts w:ascii="Arial Rounded MT Bold" w:eastAsia="Arial Unicode MS" w:hAnsi="Arial Rounded MT Bold" w:cs="Arial"/>
        <w:bCs/>
        <w:sz w:val="28"/>
        <w:szCs w:val="28"/>
        <w:lang w:val="es-ES"/>
      </w:rPr>
    </w:pPr>
  </w:p>
  <w:p w:rsidR="005B2054" w:rsidRDefault="005B2054" w:rsidP="001E1583">
    <w:pPr>
      <w:jc w:val="center"/>
      <w:rPr>
        <w:rFonts w:ascii="Arial Rounded MT Bold" w:eastAsia="Arial Unicode MS" w:hAnsi="Arial Rounded MT Bold" w:cs="Arial"/>
        <w:bCs/>
        <w:sz w:val="28"/>
        <w:szCs w:val="28"/>
        <w:lang w:val="es-ES"/>
      </w:rPr>
    </w:pPr>
  </w:p>
  <w:p w:rsidR="005B2054" w:rsidRDefault="005B2054" w:rsidP="001E1583">
    <w:pPr>
      <w:jc w:val="center"/>
      <w:rPr>
        <w:rFonts w:ascii="Arial Rounded MT Bold" w:eastAsia="Arial Unicode MS" w:hAnsi="Arial Rounded MT Bold" w:cs="Arial"/>
        <w:bCs/>
        <w:sz w:val="28"/>
        <w:szCs w:val="28"/>
        <w:lang w:val="es-ES"/>
      </w:rPr>
    </w:pPr>
  </w:p>
  <w:p w:rsidR="007A73B5" w:rsidRDefault="007A73B5" w:rsidP="001E1583">
    <w:pPr>
      <w:jc w:val="center"/>
      <w:rPr>
        <w:rFonts w:ascii="Arial Rounded MT Bold" w:eastAsia="Arial Unicode MS" w:hAnsi="Arial Rounded MT Bold" w:cs="Arial"/>
        <w:bCs/>
        <w:sz w:val="28"/>
        <w:szCs w:val="28"/>
        <w:lang w:val="es-ES"/>
      </w:rPr>
    </w:pPr>
    <w:r w:rsidRPr="007A73B5">
      <w:rPr>
        <w:rFonts w:ascii="Arial Rounded MT Bold" w:eastAsia="Arial Unicode MS" w:hAnsi="Arial Rounded MT Bold" w:cs="Arial"/>
        <w:bCs/>
        <w:sz w:val="28"/>
        <w:szCs w:val="28"/>
        <w:lang w:val="es-ES"/>
      </w:rPr>
      <w:t>Sistema Intermunicipal de los Servicios de Agua Potable y Alcantarillado (SIAPA)</w:t>
    </w:r>
  </w:p>
  <w:p w:rsidR="001E1583" w:rsidRPr="007A73B5" w:rsidRDefault="007A73B5" w:rsidP="001E1583">
    <w:pPr>
      <w:jc w:val="center"/>
      <w:rPr>
        <w:rFonts w:ascii="Arial Rounded MT Bold" w:hAnsi="Arial Rounded MT Bold" w:cs="Arial"/>
        <w:szCs w:val="20"/>
      </w:rPr>
    </w:pPr>
    <w:r>
      <w:rPr>
        <w:rFonts w:ascii="Arial Rounded MT Bold" w:hAnsi="Arial Rounded MT Bold" w:cs="Arial"/>
        <w:szCs w:val="20"/>
        <w:lang w:val="es-ES_tradnl"/>
      </w:rPr>
      <w:t>Auditoria del 01 de julio al 30</w:t>
    </w:r>
    <w:r w:rsidR="001E1583" w:rsidRPr="007A73B5">
      <w:rPr>
        <w:rFonts w:ascii="Arial Rounded MT Bold" w:hAnsi="Arial Rounded MT Bold" w:cs="Arial"/>
        <w:szCs w:val="20"/>
        <w:lang w:val="es-ES_tradnl"/>
      </w:rPr>
      <w:t xml:space="preserve"> de </w:t>
    </w:r>
    <w:r>
      <w:rPr>
        <w:rFonts w:ascii="Arial Rounded MT Bold" w:hAnsi="Arial Rounded MT Bold" w:cs="Arial"/>
        <w:szCs w:val="20"/>
        <w:lang w:val="es-ES_tradnl"/>
      </w:rPr>
      <w:t>septiembre del 2014</w:t>
    </w:r>
    <w:r w:rsidR="001E1583" w:rsidRPr="007A73B5">
      <w:rPr>
        <w:rFonts w:ascii="Arial Rounded MT Bold" w:hAnsi="Arial Rounded MT Bold" w:cs="Arial"/>
        <w:szCs w:val="20"/>
        <w:lang w:val="es-ES_tradnl"/>
      </w:rPr>
      <w:t xml:space="preserve"> y eventos posteriores. </w:t>
    </w:r>
  </w:p>
  <w:p w:rsidR="001E1583" w:rsidRPr="00B12C2D" w:rsidRDefault="006F501A" w:rsidP="001E1583">
    <w:pPr>
      <w:jc w:val="center"/>
      <w:rPr>
        <w:rFonts w:ascii="Arial Rounded MT Bold" w:hAnsi="Arial Rounded MT Bold" w:cs="Arial"/>
        <w:b/>
        <w:sz w:val="28"/>
        <w:szCs w:val="28"/>
      </w:rPr>
    </w:pPr>
    <w:r>
      <w:rPr>
        <w:rFonts w:ascii="Arial Rounded MT Bold" w:hAnsi="Arial Rounded MT Bold" w:cs="Arial"/>
        <w:b/>
        <w:sz w:val="28"/>
        <w:szCs w:val="28"/>
      </w:rPr>
      <w:t>ANEXO  “D</w:t>
    </w:r>
    <w:r w:rsidR="001E1583" w:rsidRPr="00B12C2D">
      <w:rPr>
        <w:rFonts w:ascii="Arial Rounded MT Bold" w:hAnsi="Arial Rounded MT Bold" w:cs="Arial"/>
        <w:b/>
        <w:sz w:val="28"/>
        <w:szCs w:val="28"/>
      </w:rPr>
      <w:t>”</w:t>
    </w:r>
  </w:p>
  <w:p w:rsidR="001E1583" w:rsidRPr="001E1583" w:rsidRDefault="001E1583" w:rsidP="001E1583">
    <w:pPr>
      <w:jc w:val="center"/>
      <w:rPr>
        <w:rFonts w:ascii="Arial Rounded MT Bold" w:hAnsi="Arial Rounded MT Bold"/>
        <w:sz w:val="28"/>
        <w:szCs w:val="28"/>
      </w:rPr>
    </w:pPr>
    <w:r w:rsidRPr="00B12C2D">
      <w:rPr>
        <w:rFonts w:ascii="Arial Rounded MT Bold" w:hAnsi="Arial Rounded MT Bold"/>
        <w:sz w:val="28"/>
        <w:szCs w:val="28"/>
      </w:rPr>
      <w:t>R</w:t>
    </w:r>
    <w:r w:rsidR="00F543E5">
      <w:rPr>
        <w:rFonts w:ascii="Arial Rounded MT Bold" w:hAnsi="Arial Rounded MT Bold"/>
        <w:sz w:val="28"/>
        <w:szCs w:val="28"/>
      </w:rPr>
      <w:t>espuesta de la Observación</w:t>
    </w:r>
    <w:r w:rsidR="003C0A0A">
      <w:rPr>
        <w:rFonts w:ascii="Arial Rounded MT Bold" w:hAnsi="Arial Rounded MT Bold"/>
        <w:sz w:val="28"/>
        <w:szCs w:val="28"/>
      </w:rPr>
      <w:t xml:space="preserve"> No.2.</w:t>
    </w:r>
    <w:r w:rsidR="006F501A">
      <w:rPr>
        <w:rFonts w:ascii="Arial Rounded MT Bold" w:hAnsi="Arial Rounded MT Bold"/>
        <w:sz w:val="28"/>
        <w:szCs w:val="2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30D3A"/>
    <w:multiLevelType w:val="hybridMultilevel"/>
    <w:tmpl w:val="0E82D8CC"/>
    <w:lvl w:ilvl="0" w:tplc="2A008A16">
      <w:start w:val="1"/>
      <w:numFmt w:val="lowerLetter"/>
      <w:lvlText w:val="%1)"/>
      <w:lvlJc w:val="left"/>
      <w:pPr>
        <w:ind w:left="555" w:hanging="360"/>
      </w:pPr>
    </w:lvl>
    <w:lvl w:ilvl="1" w:tplc="080A0019">
      <w:start w:val="1"/>
      <w:numFmt w:val="lowerLetter"/>
      <w:lvlText w:val="%2."/>
      <w:lvlJc w:val="left"/>
      <w:pPr>
        <w:ind w:left="1275" w:hanging="360"/>
      </w:pPr>
    </w:lvl>
    <w:lvl w:ilvl="2" w:tplc="080A001B">
      <w:start w:val="1"/>
      <w:numFmt w:val="lowerRoman"/>
      <w:lvlText w:val="%3."/>
      <w:lvlJc w:val="right"/>
      <w:pPr>
        <w:ind w:left="1995" w:hanging="180"/>
      </w:pPr>
    </w:lvl>
    <w:lvl w:ilvl="3" w:tplc="080A000F">
      <w:start w:val="1"/>
      <w:numFmt w:val="decimal"/>
      <w:lvlText w:val="%4."/>
      <w:lvlJc w:val="left"/>
      <w:pPr>
        <w:ind w:left="2715" w:hanging="360"/>
      </w:pPr>
    </w:lvl>
    <w:lvl w:ilvl="4" w:tplc="080A0019">
      <w:start w:val="1"/>
      <w:numFmt w:val="lowerLetter"/>
      <w:lvlText w:val="%5."/>
      <w:lvlJc w:val="left"/>
      <w:pPr>
        <w:ind w:left="3435" w:hanging="360"/>
      </w:pPr>
    </w:lvl>
    <w:lvl w:ilvl="5" w:tplc="080A001B">
      <w:start w:val="1"/>
      <w:numFmt w:val="lowerRoman"/>
      <w:lvlText w:val="%6."/>
      <w:lvlJc w:val="right"/>
      <w:pPr>
        <w:ind w:left="4155" w:hanging="180"/>
      </w:pPr>
    </w:lvl>
    <w:lvl w:ilvl="6" w:tplc="080A000F">
      <w:start w:val="1"/>
      <w:numFmt w:val="decimal"/>
      <w:lvlText w:val="%7."/>
      <w:lvlJc w:val="left"/>
      <w:pPr>
        <w:ind w:left="4875" w:hanging="360"/>
      </w:pPr>
    </w:lvl>
    <w:lvl w:ilvl="7" w:tplc="080A0019">
      <w:start w:val="1"/>
      <w:numFmt w:val="lowerLetter"/>
      <w:lvlText w:val="%8."/>
      <w:lvlJc w:val="left"/>
      <w:pPr>
        <w:ind w:left="5595" w:hanging="360"/>
      </w:pPr>
    </w:lvl>
    <w:lvl w:ilvl="8" w:tplc="080A001B">
      <w:start w:val="1"/>
      <w:numFmt w:val="lowerRoman"/>
      <w:lvlText w:val="%9."/>
      <w:lvlJc w:val="right"/>
      <w:pPr>
        <w:ind w:left="631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583"/>
    <w:rsid w:val="00110CEE"/>
    <w:rsid w:val="001411FC"/>
    <w:rsid w:val="001E1583"/>
    <w:rsid w:val="00236BD8"/>
    <w:rsid w:val="0025074B"/>
    <w:rsid w:val="002A33CC"/>
    <w:rsid w:val="003C0A0A"/>
    <w:rsid w:val="00494549"/>
    <w:rsid w:val="005B2054"/>
    <w:rsid w:val="006D6A48"/>
    <w:rsid w:val="006F501A"/>
    <w:rsid w:val="007A73B5"/>
    <w:rsid w:val="007D1F95"/>
    <w:rsid w:val="008624B2"/>
    <w:rsid w:val="008A40A9"/>
    <w:rsid w:val="008B5ABD"/>
    <w:rsid w:val="00D72F68"/>
    <w:rsid w:val="00EC215D"/>
    <w:rsid w:val="00F543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5D"/>
    <w:pPr>
      <w:spacing w:after="160" w:line="259" w:lineRule="auto"/>
    </w:pPr>
  </w:style>
  <w:style w:type="paragraph" w:styleId="Ttulo1">
    <w:name w:val="heading 1"/>
    <w:basedOn w:val="Normal"/>
    <w:next w:val="Normal"/>
    <w:link w:val="Ttulo1Car"/>
    <w:uiPriority w:val="9"/>
    <w:qFormat/>
    <w:rsid w:val="00EC21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EC21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15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1583"/>
  </w:style>
  <w:style w:type="paragraph" w:styleId="Piedepgina">
    <w:name w:val="footer"/>
    <w:basedOn w:val="Normal"/>
    <w:link w:val="PiedepginaCar"/>
    <w:uiPriority w:val="99"/>
    <w:unhideWhenUsed/>
    <w:rsid w:val="001E15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1583"/>
  </w:style>
  <w:style w:type="paragraph" w:styleId="Textodeglobo">
    <w:name w:val="Balloon Text"/>
    <w:basedOn w:val="Normal"/>
    <w:link w:val="TextodegloboCar"/>
    <w:uiPriority w:val="99"/>
    <w:semiHidden/>
    <w:unhideWhenUsed/>
    <w:rsid w:val="001E15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583"/>
    <w:rPr>
      <w:rFonts w:ascii="Tahoma" w:hAnsi="Tahoma" w:cs="Tahoma"/>
      <w:sz w:val="16"/>
      <w:szCs w:val="16"/>
    </w:rPr>
  </w:style>
  <w:style w:type="character" w:customStyle="1" w:styleId="Ttulo1Car">
    <w:name w:val="Título 1 Car"/>
    <w:basedOn w:val="Fuentedeprrafopredeter"/>
    <w:link w:val="Ttulo1"/>
    <w:uiPriority w:val="9"/>
    <w:rsid w:val="00EC215D"/>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EC215D"/>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99"/>
    <w:semiHidden/>
    <w:unhideWhenUsed/>
    <w:rsid w:val="003C0A0A"/>
    <w:pPr>
      <w:spacing w:after="120" w:line="256" w:lineRule="auto"/>
    </w:pPr>
  </w:style>
  <w:style w:type="character" w:customStyle="1" w:styleId="TextoindependienteCar">
    <w:name w:val="Texto independiente Car"/>
    <w:basedOn w:val="Fuentedeprrafopredeter"/>
    <w:link w:val="Textoindependiente"/>
    <w:uiPriority w:val="99"/>
    <w:semiHidden/>
    <w:rsid w:val="003C0A0A"/>
  </w:style>
  <w:style w:type="paragraph" w:styleId="Prrafodelista">
    <w:name w:val="List Paragraph"/>
    <w:basedOn w:val="Normal"/>
    <w:uiPriority w:val="34"/>
    <w:qFormat/>
    <w:rsid w:val="006F501A"/>
    <w:pPr>
      <w:spacing w:line="256" w:lineRule="auto"/>
      <w:ind w:left="720"/>
      <w:contextualSpacing/>
    </w:pPr>
  </w:style>
  <w:style w:type="table" w:styleId="Tablaconcuadrcula">
    <w:name w:val="Table Grid"/>
    <w:basedOn w:val="Tablanormal"/>
    <w:uiPriority w:val="39"/>
    <w:rsid w:val="006F5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5D"/>
    <w:pPr>
      <w:spacing w:after="160" w:line="259" w:lineRule="auto"/>
    </w:pPr>
  </w:style>
  <w:style w:type="paragraph" w:styleId="Ttulo1">
    <w:name w:val="heading 1"/>
    <w:basedOn w:val="Normal"/>
    <w:next w:val="Normal"/>
    <w:link w:val="Ttulo1Car"/>
    <w:uiPriority w:val="9"/>
    <w:qFormat/>
    <w:rsid w:val="00EC21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EC21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15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1583"/>
  </w:style>
  <w:style w:type="paragraph" w:styleId="Piedepgina">
    <w:name w:val="footer"/>
    <w:basedOn w:val="Normal"/>
    <w:link w:val="PiedepginaCar"/>
    <w:uiPriority w:val="99"/>
    <w:unhideWhenUsed/>
    <w:rsid w:val="001E15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1583"/>
  </w:style>
  <w:style w:type="paragraph" w:styleId="Textodeglobo">
    <w:name w:val="Balloon Text"/>
    <w:basedOn w:val="Normal"/>
    <w:link w:val="TextodegloboCar"/>
    <w:uiPriority w:val="99"/>
    <w:semiHidden/>
    <w:unhideWhenUsed/>
    <w:rsid w:val="001E15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583"/>
    <w:rPr>
      <w:rFonts w:ascii="Tahoma" w:hAnsi="Tahoma" w:cs="Tahoma"/>
      <w:sz w:val="16"/>
      <w:szCs w:val="16"/>
    </w:rPr>
  </w:style>
  <w:style w:type="character" w:customStyle="1" w:styleId="Ttulo1Car">
    <w:name w:val="Título 1 Car"/>
    <w:basedOn w:val="Fuentedeprrafopredeter"/>
    <w:link w:val="Ttulo1"/>
    <w:uiPriority w:val="9"/>
    <w:rsid w:val="00EC215D"/>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EC215D"/>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99"/>
    <w:semiHidden/>
    <w:unhideWhenUsed/>
    <w:rsid w:val="003C0A0A"/>
    <w:pPr>
      <w:spacing w:after="120" w:line="256" w:lineRule="auto"/>
    </w:pPr>
  </w:style>
  <w:style w:type="character" w:customStyle="1" w:styleId="TextoindependienteCar">
    <w:name w:val="Texto independiente Car"/>
    <w:basedOn w:val="Fuentedeprrafopredeter"/>
    <w:link w:val="Textoindependiente"/>
    <w:uiPriority w:val="99"/>
    <w:semiHidden/>
    <w:rsid w:val="003C0A0A"/>
  </w:style>
  <w:style w:type="paragraph" w:styleId="Prrafodelista">
    <w:name w:val="List Paragraph"/>
    <w:basedOn w:val="Normal"/>
    <w:uiPriority w:val="34"/>
    <w:qFormat/>
    <w:rsid w:val="006F501A"/>
    <w:pPr>
      <w:spacing w:line="256" w:lineRule="auto"/>
      <w:ind w:left="720"/>
      <w:contextualSpacing/>
    </w:pPr>
  </w:style>
  <w:style w:type="table" w:styleId="Tablaconcuadrcula">
    <w:name w:val="Table Grid"/>
    <w:basedOn w:val="Tablanormal"/>
    <w:uiPriority w:val="39"/>
    <w:rsid w:val="006F5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50247">
      <w:bodyDiv w:val="1"/>
      <w:marLeft w:val="0"/>
      <w:marRight w:val="0"/>
      <w:marTop w:val="0"/>
      <w:marBottom w:val="0"/>
      <w:divBdr>
        <w:top w:val="none" w:sz="0" w:space="0" w:color="auto"/>
        <w:left w:val="none" w:sz="0" w:space="0" w:color="auto"/>
        <w:bottom w:val="none" w:sz="0" w:space="0" w:color="auto"/>
        <w:right w:val="none" w:sz="0" w:space="0" w:color="auto"/>
      </w:divBdr>
    </w:div>
    <w:div w:id="100494601">
      <w:bodyDiv w:val="1"/>
      <w:marLeft w:val="0"/>
      <w:marRight w:val="0"/>
      <w:marTop w:val="0"/>
      <w:marBottom w:val="0"/>
      <w:divBdr>
        <w:top w:val="none" w:sz="0" w:space="0" w:color="auto"/>
        <w:left w:val="none" w:sz="0" w:space="0" w:color="auto"/>
        <w:bottom w:val="none" w:sz="0" w:space="0" w:color="auto"/>
        <w:right w:val="none" w:sz="0" w:space="0" w:color="auto"/>
      </w:divBdr>
    </w:div>
    <w:div w:id="529563234">
      <w:bodyDiv w:val="1"/>
      <w:marLeft w:val="0"/>
      <w:marRight w:val="0"/>
      <w:marTop w:val="0"/>
      <w:marBottom w:val="0"/>
      <w:divBdr>
        <w:top w:val="none" w:sz="0" w:space="0" w:color="auto"/>
        <w:left w:val="none" w:sz="0" w:space="0" w:color="auto"/>
        <w:bottom w:val="none" w:sz="0" w:space="0" w:color="auto"/>
        <w:right w:val="none" w:sz="0" w:space="0" w:color="auto"/>
      </w:divBdr>
    </w:div>
    <w:div w:id="1256549429">
      <w:bodyDiv w:val="1"/>
      <w:marLeft w:val="0"/>
      <w:marRight w:val="0"/>
      <w:marTop w:val="0"/>
      <w:marBottom w:val="0"/>
      <w:divBdr>
        <w:top w:val="none" w:sz="0" w:space="0" w:color="auto"/>
        <w:left w:val="none" w:sz="0" w:space="0" w:color="auto"/>
        <w:bottom w:val="none" w:sz="0" w:space="0" w:color="auto"/>
        <w:right w:val="none" w:sz="0" w:space="0" w:color="auto"/>
      </w:divBdr>
    </w:div>
    <w:div w:id="169608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935</Words>
  <Characters>5144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Perez Elizalde</dc:creator>
  <cp:lastModifiedBy>Angelina Paniagua</cp:lastModifiedBy>
  <cp:revision>6</cp:revision>
  <cp:lastPrinted>2018-11-09T17:43:00Z</cp:lastPrinted>
  <dcterms:created xsi:type="dcterms:W3CDTF">2018-11-09T16:12:00Z</dcterms:created>
  <dcterms:modified xsi:type="dcterms:W3CDTF">2018-11-09T17:44:00Z</dcterms:modified>
</cp:coreProperties>
</file>