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B" w:rsidRDefault="00C20A2B" w:rsidP="001137FC">
      <w:pPr>
        <w:jc w:val="both"/>
      </w:pPr>
      <w:r>
        <w:t xml:space="preserve">Como usted sabe el concepto Homologación que </w:t>
      </w:r>
      <w:r w:rsidR="00E33D43">
        <w:t xml:space="preserve">se </w:t>
      </w:r>
      <w:proofErr w:type="gramStart"/>
      <w:r w:rsidR="00E33D43">
        <w:t>les</w:t>
      </w:r>
      <w:proofErr w:type="gramEnd"/>
      <w:r>
        <w:t xml:space="preserve"> paga al personal administrativo del Instituto </w:t>
      </w:r>
      <w:r w:rsidR="00E33D43">
        <w:t>está en</w:t>
      </w:r>
      <w:r>
        <w:t xml:space="preserve"> proceso de </w:t>
      </w:r>
      <w:r w:rsidR="00E33D43">
        <w:t>Desaparecer ya</w:t>
      </w:r>
      <w:r>
        <w:t xml:space="preserve"> que se están llevando a cabo las gestiones necesarias en la SEPAF para hacer una Reingeniería y Organigrama Funcional de la Estructura del Instituto.</w:t>
      </w:r>
    </w:p>
    <w:p w:rsidR="00916FBC" w:rsidRDefault="00C20A2B" w:rsidP="001137FC">
      <w:pPr>
        <w:jc w:val="both"/>
        <w:rPr>
          <w:b/>
        </w:rPr>
      </w:pPr>
      <w:r>
        <w:t xml:space="preserve">Como es de conocimiento las personas mencionadas en la observación 4.2 Anexo No. 2, que dice </w:t>
      </w:r>
      <w:r w:rsidR="00916FBC" w:rsidRPr="00916FBC">
        <w:rPr>
          <w:b/>
        </w:rPr>
        <w:t>H</w:t>
      </w:r>
      <w:r w:rsidRPr="00916FBC">
        <w:rPr>
          <w:b/>
        </w:rPr>
        <w:t>omologación de sueldos sin autorización 2017 y 2018</w:t>
      </w:r>
      <w:r>
        <w:t xml:space="preserve">, son personas de apoyo en las diferentes áreas del Organismo que desempeñan funciones específicas y con alta responsabilidad, no es de conocimiento de los auditores que el IDEFT, cuenta con una plantilla con mucho rezago económico, es decir que las plazas administrativas </w:t>
      </w:r>
      <w:r w:rsidR="00E33D43">
        <w:t>están</w:t>
      </w:r>
      <w:r>
        <w:t xml:space="preserve"> con un salario muy bajo. </w:t>
      </w:r>
      <w:r w:rsidR="00916FBC">
        <w:t xml:space="preserve">Es por ello que la </w:t>
      </w:r>
      <w:proofErr w:type="gramStart"/>
      <w:r w:rsidR="00916FBC">
        <w:t>dirección</w:t>
      </w:r>
      <w:proofErr w:type="gramEnd"/>
      <w:r w:rsidR="00916FBC">
        <w:t xml:space="preserve"> general al frente en su momento autorizo dicho pago a ciertas personas con labores especificas dado que el clasificador dice </w:t>
      </w:r>
      <w:r w:rsidR="00916FBC" w:rsidRPr="00916FBC">
        <w:rPr>
          <w:b/>
        </w:rPr>
        <w:t xml:space="preserve">Se aprueban en base a autorización </w:t>
      </w:r>
      <w:r w:rsidR="00916FBC">
        <w:rPr>
          <w:b/>
        </w:rPr>
        <w:t>del T</w:t>
      </w:r>
      <w:r w:rsidR="00916FBC" w:rsidRPr="00916FBC">
        <w:rPr>
          <w:b/>
        </w:rPr>
        <w:t>itular.</w:t>
      </w:r>
    </w:p>
    <w:p w:rsidR="00916FBC" w:rsidRDefault="00916FBC" w:rsidP="001137FC">
      <w:pPr>
        <w:jc w:val="both"/>
      </w:pPr>
      <w:r>
        <w:t>Comento que el Clasificador por Objeto del Gasto 2017 y 2018, se cuenta con una partida llamada Homologación que es la 1544 que dice lo siguiente:</w:t>
      </w:r>
    </w:p>
    <w:p w:rsidR="00916FBC" w:rsidRDefault="00916FBC" w:rsidP="001137FC">
      <w:pPr>
        <w:jc w:val="both"/>
        <w:rPr>
          <w:b/>
        </w:rPr>
      </w:pPr>
      <w:r w:rsidRPr="00916FBC">
        <w:rPr>
          <w:b/>
        </w:rPr>
        <w:t>1544 Homologación</w:t>
      </w:r>
    </w:p>
    <w:p w:rsidR="00094E72" w:rsidRPr="00094E72" w:rsidRDefault="00916FBC" w:rsidP="001137FC">
      <w:pPr>
        <w:jc w:val="both"/>
        <w:rPr>
          <w:b/>
          <w:sz w:val="10"/>
          <w:szCs w:val="10"/>
        </w:rPr>
      </w:pPr>
      <w:r>
        <w:rPr>
          <w:b/>
        </w:rPr>
        <w:t xml:space="preserve">“Asignaciones destinadas a cubrir a favor de los trabajadores las diferencias de percepciones que se registran entre personal, que bajo criterios predefinidos desempeña funciones equivalentes. Se aprueban en base a autorizaciones del Titular del Poder Ejecutivo, </w:t>
      </w:r>
      <w:r w:rsidR="00480703">
        <w:rPr>
          <w:b/>
        </w:rPr>
        <w:t>Convenios Sindicales o acuerdos con las diversas”</w:t>
      </w:r>
    </w:p>
    <w:p w:rsidR="00480703" w:rsidRPr="001137FC" w:rsidRDefault="00480703" w:rsidP="001137FC">
      <w:pPr>
        <w:jc w:val="both"/>
        <w:rPr>
          <w:u w:val="single"/>
        </w:rPr>
      </w:pPr>
      <w:r>
        <w:t xml:space="preserve">Hago mención que en el presupuesto inicial 2017, se cuenta con monto autorizado en la partida 1544 Homologación por $ 2´818,585.70 y en el presupuesto inicial autorizado en 2018, por un monto de $1´857,866.30, </w:t>
      </w:r>
      <w:r w:rsidRPr="001137FC">
        <w:rPr>
          <w:u w:val="single"/>
        </w:rPr>
        <w:t>y en la plantilla de personal Autorizada se encuentra al final partida por partida que se utilizaran de acuerdo a las necesidades de operación para el instituto.</w:t>
      </w:r>
    </w:p>
    <w:p w:rsidR="000B2763" w:rsidRDefault="000B2763" w:rsidP="001137FC">
      <w:pPr>
        <w:jc w:val="both"/>
      </w:pPr>
      <w:r>
        <w:t>Por lo cual informo que no se ha incumplido ni violado ninguna disposición o norma o Ley, ya que se tiene suficiencia presupuestal para cubrir dicho pago y que se ha estado trabajando en el proyecto de Reingeniería del Organismo, para no tener este tipo de observaciones. Ya que existe un remanente para solventar dicha partida.</w:t>
      </w:r>
    </w:p>
    <w:p w:rsidR="000B2763" w:rsidRDefault="000B2763" w:rsidP="001137FC">
      <w:pPr>
        <w:jc w:val="both"/>
      </w:pPr>
      <w:r>
        <w:t xml:space="preserve">Se anexa Plantilla de Personal Firmada y Presupuestos mencionados Autorizados y Firmados por </w:t>
      </w:r>
      <w:proofErr w:type="gramStart"/>
      <w:r>
        <w:t>la</w:t>
      </w:r>
      <w:proofErr w:type="gramEnd"/>
      <w:r>
        <w:t xml:space="preserve"> H. Junta de Directiva, será el Órgano Máximo de Gobierno del Instituto.</w:t>
      </w:r>
    </w:p>
    <w:p w:rsidR="000B2763" w:rsidRDefault="000B2763" w:rsidP="001137FC">
      <w:pPr>
        <w:jc w:val="both"/>
      </w:pPr>
      <w:r>
        <w:t>Articulo 13; La Junta Directiva del Instituto tendrá las atribuciones siguientes;</w:t>
      </w:r>
    </w:p>
    <w:p w:rsidR="000B2763" w:rsidRDefault="000B2763" w:rsidP="001137FC">
      <w:pPr>
        <w:jc w:val="both"/>
      </w:pPr>
      <w:proofErr w:type="spellStart"/>
      <w:r>
        <w:t>Fraccion</w:t>
      </w:r>
      <w:proofErr w:type="spellEnd"/>
      <w:r>
        <w:t xml:space="preserve"> II. Examinar y, en su caso, aprobar el proyecto anual de ingresos y el correspondiente a egresos.</w:t>
      </w:r>
    </w:p>
    <w:p w:rsidR="000B2763" w:rsidRDefault="000B2763" w:rsidP="001137FC">
      <w:pPr>
        <w:jc w:val="both"/>
      </w:pPr>
      <w:r>
        <w:t xml:space="preserve">Fracción VII; Autorizar en su caso, la estructura </w:t>
      </w:r>
      <w:r w:rsidR="00E33D43">
        <w:t>orgánica</w:t>
      </w:r>
      <w:r>
        <w:t xml:space="preserve"> del Instituto, </w:t>
      </w:r>
      <w:r w:rsidR="00E33D43">
        <w:t>así</w:t>
      </w:r>
      <w:r>
        <w:t xml:space="preserve"> como sus modificaciones. </w:t>
      </w:r>
    </w:p>
    <w:p w:rsidR="00E33D43" w:rsidRDefault="00E33D43" w:rsidP="001137FC">
      <w:pPr>
        <w:jc w:val="both"/>
      </w:pPr>
      <w:r>
        <w:t>Para consultar el Decreto de Creación del Instituto, puede ingresar a la Página de Transparencia del Organismo.</w:t>
      </w:r>
    </w:p>
    <w:p w:rsidR="00E33D43" w:rsidRDefault="00E33D43" w:rsidP="001137FC">
      <w:pPr>
        <w:jc w:val="both"/>
      </w:pPr>
      <w:bookmarkStart w:id="0" w:name="_GoBack"/>
      <w:bookmarkEnd w:id="0"/>
      <w:r>
        <w:t>https//transparencia.info.jalisco.gob.mx/transparencia/organismo/89</w:t>
      </w:r>
    </w:p>
    <w:p w:rsidR="00E33D43" w:rsidRPr="00480703" w:rsidRDefault="00E33D43" w:rsidP="001137FC">
      <w:pPr>
        <w:jc w:val="both"/>
      </w:pPr>
      <w:proofErr w:type="spellStart"/>
      <w:r>
        <w:t>Articulo</w:t>
      </w:r>
      <w:proofErr w:type="spellEnd"/>
      <w:r>
        <w:t xml:space="preserve"> 8°</w:t>
      </w:r>
      <w:proofErr w:type="gramStart"/>
      <w:r>
        <w:t>;fracción</w:t>
      </w:r>
      <w:proofErr w:type="gramEnd"/>
      <w:r>
        <w:t xml:space="preserve"> II, inciso e)Decreto de Creación del IDEFT.</w:t>
      </w:r>
    </w:p>
    <w:sectPr w:rsidR="00E33D43" w:rsidRPr="00480703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F" w:rsidRDefault="007A082F" w:rsidP="001E1583">
      <w:pPr>
        <w:spacing w:after="0" w:line="240" w:lineRule="auto"/>
      </w:pPr>
      <w:r>
        <w:separator/>
      </w:r>
    </w:p>
  </w:endnote>
  <w:endnote w:type="continuationSeparator" w:id="0">
    <w:p w:rsidR="007A082F" w:rsidRDefault="007A082F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F" w:rsidRDefault="007A082F" w:rsidP="001E1583">
      <w:pPr>
        <w:spacing w:after="0" w:line="240" w:lineRule="auto"/>
      </w:pPr>
      <w:r>
        <w:separator/>
      </w:r>
    </w:p>
  </w:footnote>
  <w:footnote w:type="continuationSeparator" w:id="0">
    <w:p w:rsidR="007A082F" w:rsidRDefault="007A082F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E4" w:rsidRDefault="00F103E4" w:rsidP="00F103E4">
    <w:pPr>
      <w:pStyle w:val="Encabezado"/>
      <w:jc w:val="right"/>
    </w:pPr>
    <w:r w:rsidRPr="0002416F">
      <w:rPr>
        <w:rFonts w:ascii="Arial" w:hAnsi="Arial" w:cs="Arial"/>
        <w:b/>
        <w:w w:val="200"/>
      </w:rPr>
      <w:t>Anexo Of. DGP/</w:t>
    </w:r>
    <w:r>
      <w:rPr>
        <w:rFonts w:ascii="Arial" w:hAnsi="Arial" w:cs="Arial"/>
        <w:b/>
        <w:w w:val="200"/>
      </w:rPr>
      <w:t>4696/2018</w:t>
    </w: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jc w:val="right"/>
      <w:rPr>
        <w:rFonts w:ascii="Frutiger-Light" w:hAnsi="Frutiger-Light" w:cs="Frutiger-Light"/>
        <w:noProof/>
        <w:color w:val="333333"/>
        <w:lang w:eastAsia="es-MX"/>
      </w:rPr>
    </w:pPr>
    <w:r>
      <w:rPr>
        <w:rFonts w:ascii="Frutiger-Light" w:hAnsi="Frutiger-Light" w:cs="Frutiger-Light"/>
        <w:noProof/>
        <w:color w:val="333333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-175260</wp:posOffset>
          </wp:positionV>
          <wp:extent cx="2261173" cy="1081718"/>
          <wp:effectExtent l="0" t="0" r="635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traloria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1173" cy="1081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Frutiger-Light" w:hAnsi="Frutiger-Light" w:cs="Frutiger-Light"/>
        <w:noProof/>
        <w:color w:val="333333"/>
        <w:lang w:eastAsia="es-MX"/>
      </w:rPr>
      <w:drawing>
        <wp:inline distT="0" distB="0" distL="0" distR="0">
          <wp:extent cx="2742454" cy="582804"/>
          <wp:effectExtent l="0" t="0" r="0" b="0"/>
          <wp:docPr id="1" name="Imagen 2" descr="logo Gobierno de Jal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Gobierno de Jalisc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047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583" w:rsidRDefault="001E1583" w:rsidP="001E1583">
    <w:pPr>
      <w:pStyle w:val="Encabezado"/>
      <w:tabs>
        <w:tab w:val="clear" w:pos="4419"/>
        <w:tab w:val="clear" w:pos="8838"/>
        <w:tab w:val="left" w:pos="6165"/>
      </w:tabs>
      <w:rPr>
        <w:rFonts w:ascii="Frutiger-Light" w:hAnsi="Frutiger-Light" w:cs="Frutiger-Light"/>
        <w:noProof/>
        <w:color w:val="333333"/>
        <w:lang w:eastAsia="es-MX"/>
      </w:rPr>
    </w:pPr>
  </w:p>
  <w:p w:rsidR="00AF2C5C" w:rsidRDefault="002D437B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Instituto de Formación para el Trabajo del Estado de Jalisco (IDEFT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)</w:t>
    </w:r>
  </w:p>
  <w:p w:rsidR="001E1583" w:rsidRPr="001354B6" w:rsidRDefault="002D437B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 1 de enero al 31 de diciembre del 2017, del 1 de enero al 31 de julio del 2018 y eventos posteriores.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6A1010">
      <w:rPr>
        <w:rFonts w:ascii="Arial Rounded MT Bold" w:hAnsi="Arial Rounded MT Bold" w:cs="Arial"/>
        <w:b/>
        <w:sz w:val="28"/>
        <w:szCs w:val="28"/>
      </w:rPr>
      <w:t>“E</w:t>
    </w:r>
    <w:r w:rsidRPr="00B12C2D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6A1010" w:rsidP="001E1583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Respuesta de la Observación No.4</w:t>
    </w:r>
    <w:r w:rsidR="001E1583" w:rsidRPr="00B12C2D">
      <w:rPr>
        <w:rFonts w:ascii="Arial Rounded MT Bold" w:hAnsi="Arial Rounded MT Bold"/>
        <w:sz w:val="28"/>
        <w:szCs w:val="28"/>
      </w:rPr>
      <w:t>.</w:t>
    </w:r>
    <w:r>
      <w:rPr>
        <w:rFonts w:ascii="Arial Rounded MT Bold" w:hAnsi="Arial Rounded MT Bold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583"/>
    <w:rsid w:val="00094E72"/>
    <w:rsid w:val="000B2763"/>
    <w:rsid w:val="000F348D"/>
    <w:rsid w:val="00110CEE"/>
    <w:rsid w:val="001137FC"/>
    <w:rsid w:val="00177A46"/>
    <w:rsid w:val="001E1583"/>
    <w:rsid w:val="00232E35"/>
    <w:rsid w:val="00260FEC"/>
    <w:rsid w:val="002A33CC"/>
    <w:rsid w:val="002A54DE"/>
    <w:rsid w:val="002D437B"/>
    <w:rsid w:val="00447F3A"/>
    <w:rsid w:val="00480703"/>
    <w:rsid w:val="00630B71"/>
    <w:rsid w:val="00680D96"/>
    <w:rsid w:val="006A1010"/>
    <w:rsid w:val="007A082F"/>
    <w:rsid w:val="007C09A2"/>
    <w:rsid w:val="0088234F"/>
    <w:rsid w:val="008B5DC9"/>
    <w:rsid w:val="008C05C2"/>
    <w:rsid w:val="00916FBC"/>
    <w:rsid w:val="00A917AC"/>
    <w:rsid w:val="00AE5F68"/>
    <w:rsid w:val="00AF2C5C"/>
    <w:rsid w:val="00B01467"/>
    <w:rsid w:val="00B45895"/>
    <w:rsid w:val="00B62D86"/>
    <w:rsid w:val="00BA5CAA"/>
    <w:rsid w:val="00BD6D63"/>
    <w:rsid w:val="00C20A2B"/>
    <w:rsid w:val="00D0633F"/>
    <w:rsid w:val="00D72F68"/>
    <w:rsid w:val="00DE390A"/>
    <w:rsid w:val="00E32B03"/>
    <w:rsid w:val="00E33D43"/>
    <w:rsid w:val="00EE4ED5"/>
    <w:rsid w:val="00F103E4"/>
    <w:rsid w:val="00F366EE"/>
    <w:rsid w:val="00F679AB"/>
    <w:rsid w:val="00FA54CC"/>
    <w:rsid w:val="00FB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B5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11</cp:revision>
  <cp:lastPrinted>2018-11-27T16:17:00Z</cp:lastPrinted>
  <dcterms:created xsi:type="dcterms:W3CDTF">2018-11-21T21:19:00Z</dcterms:created>
  <dcterms:modified xsi:type="dcterms:W3CDTF">2018-11-27T16:18:00Z</dcterms:modified>
</cp:coreProperties>
</file>